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8C2"/>
  <w:body>
    <w:p w14:paraId="3A6FF707" w14:textId="4A94B45F" w:rsidR="00B21A40" w:rsidRPr="001E3336" w:rsidRDefault="00FB1D58" w:rsidP="00FB1D58">
      <w:pPr>
        <w:pStyle w:val="Title"/>
        <w:spacing w:after="0"/>
        <w:ind w:left="-851"/>
        <w:jc w:val="center"/>
        <w:rPr>
          <w:b/>
          <w:i/>
          <w:caps/>
          <w:sz w:val="24"/>
          <w:lang w:val="en-CA"/>
        </w:rPr>
      </w:pPr>
      <w:r w:rsidRPr="001E3336">
        <w:rPr>
          <w:b/>
          <w:caps/>
          <w:smallCaps w:val="0"/>
          <w:sz w:val="36"/>
          <w:lang w:val="en-CA"/>
        </w:rPr>
        <w:t xml:space="preserve">Data, disability and BILL C7: </w:t>
      </w:r>
      <w:r w:rsidRPr="001E3336">
        <w:rPr>
          <w:b/>
          <w:caps/>
          <w:smallCaps w:val="0"/>
          <w:sz w:val="36"/>
          <w:lang w:val="en-CA"/>
        </w:rPr>
        <w:br/>
        <w:t>Case Study introductory remarks</w:t>
      </w:r>
    </w:p>
    <w:p w14:paraId="2BC2F43B" w14:textId="77777777" w:rsidR="00CE38F2" w:rsidRPr="001E3336" w:rsidRDefault="002C2B5D" w:rsidP="00CE38F2">
      <w:pPr>
        <w:pStyle w:val="Title"/>
        <w:spacing w:after="0"/>
        <w:ind w:left="-851"/>
        <w:jc w:val="center"/>
        <w:rPr>
          <w:caps/>
          <w:smallCaps w:val="0"/>
          <w:sz w:val="28"/>
          <w:lang w:val="en-CA"/>
        </w:rPr>
      </w:pPr>
      <w:r w:rsidRPr="001E3336">
        <w:rPr>
          <w:caps/>
          <w:smallCaps w:val="0"/>
          <w:sz w:val="28"/>
          <w:lang w:val="en-CA"/>
        </w:rPr>
        <w:t>for</w:t>
      </w:r>
      <w:r w:rsidR="00CE38F2" w:rsidRPr="001E3336">
        <w:rPr>
          <w:caps/>
          <w:smallCaps w:val="0"/>
          <w:sz w:val="28"/>
          <w:lang w:val="en-CA"/>
        </w:rPr>
        <w:t xml:space="preserve"> </w:t>
      </w:r>
      <w:r w:rsidR="00CE38F2" w:rsidRPr="001E3336">
        <w:rPr>
          <w:caps/>
          <w:smallCaps w:val="0"/>
          <w:sz w:val="28"/>
          <w:lang w:val="en-CA"/>
        </w:rPr>
        <w:br/>
        <w:t xml:space="preserve">“Designing Proof &amp; evidence </w:t>
      </w:r>
      <w:r w:rsidR="00CE38F2" w:rsidRPr="001E3336">
        <w:rPr>
          <w:caps/>
          <w:smallCaps w:val="0"/>
          <w:sz w:val="28"/>
          <w:lang w:val="en-CA"/>
        </w:rPr>
        <w:br/>
        <w:t>with minorities &amp; outliers”</w:t>
      </w:r>
    </w:p>
    <w:p w14:paraId="27BBF11E" w14:textId="77777777" w:rsidR="00E37B36" w:rsidRPr="00E37B36" w:rsidRDefault="00CE38F2" w:rsidP="00CE38F2">
      <w:pPr>
        <w:pStyle w:val="Title"/>
        <w:spacing w:after="0"/>
        <w:ind w:left="-851"/>
        <w:jc w:val="center"/>
        <w:rPr>
          <w:b/>
          <w:bCs/>
          <w:sz w:val="28"/>
          <w:lang w:val="en-CA"/>
        </w:rPr>
      </w:pPr>
      <w:r w:rsidRPr="00E37B36">
        <w:rPr>
          <w:b/>
          <w:bCs/>
          <w:sz w:val="28"/>
          <w:lang w:val="en-CA"/>
        </w:rPr>
        <w:t xml:space="preserve">a </w:t>
      </w:r>
      <w:r w:rsidRPr="00E37B36">
        <w:rPr>
          <w:b/>
          <w:bCs/>
          <w:i/>
          <w:sz w:val="28"/>
          <w:lang w:val="en-CA"/>
        </w:rPr>
        <w:t>We Count</w:t>
      </w:r>
      <w:r w:rsidRPr="00E37B36">
        <w:rPr>
          <w:b/>
          <w:bCs/>
          <w:sz w:val="28"/>
          <w:lang w:val="en-CA"/>
        </w:rPr>
        <w:t xml:space="preserve"> initiative</w:t>
      </w:r>
    </w:p>
    <w:p w14:paraId="0B3D3D3D" w14:textId="77777777" w:rsidR="00E37B36" w:rsidRPr="00E37B36" w:rsidRDefault="00E37B36" w:rsidP="00CE38F2">
      <w:pPr>
        <w:pStyle w:val="Title"/>
        <w:spacing w:after="0"/>
        <w:ind w:left="-851"/>
        <w:jc w:val="center"/>
        <w:rPr>
          <w:caps/>
          <w:smallCaps w:val="0"/>
          <w:sz w:val="20"/>
          <w:szCs w:val="20"/>
          <w:lang w:val="en-CA"/>
        </w:rPr>
      </w:pPr>
      <w:r w:rsidRPr="00E37B36">
        <w:rPr>
          <w:caps/>
          <w:smallCaps w:val="0"/>
          <w:sz w:val="20"/>
          <w:szCs w:val="20"/>
          <w:lang w:val="en-CA"/>
        </w:rPr>
        <w:t>of the</w:t>
      </w:r>
    </w:p>
    <w:p w14:paraId="177B3D57" w14:textId="77777777" w:rsidR="00E37B36" w:rsidRDefault="00E37B36" w:rsidP="00CE38F2">
      <w:pPr>
        <w:pStyle w:val="Title"/>
        <w:spacing w:after="0"/>
        <w:ind w:left="-851"/>
        <w:jc w:val="center"/>
        <w:rPr>
          <w:sz w:val="28"/>
          <w:szCs w:val="28"/>
        </w:rPr>
      </w:pPr>
      <w:r w:rsidRPr="00E37B36">
        <w:rPr>
          <w:sz w:val="28"/>
          <w:szCs w:val="28"/>
        </w:rPr>
        <w:t>Inclusive Design Research Centre at OCAD University</w:t>
      </w:r>
    </w:p>
    <w:p w14:paraId="74E00BC1" w14:textId="34155E6A" w:rsidR="00BC16F6" w:rsidRPr="002B62AA" w:rsidRDefault="00BC16F6" w:rsidP="002B62AA">
      <w:pPr>
        <w:spacing w:after="0" w:line="240" w:lineRule="auto"/>
        <w:jc w:val="right"/>
        <w:rPr>
          <w:rFonts w:ascii="Times New Roman" w:hAnsi="Times New Roman"/>
          <w:sz w:val="24"/>
          <w:szCs w:val="24"/>
          <w:lang w:val="en-CA" w:eastAsia="en-CA" w:bidi="ar-SA"/>
        </w:rPr>
      </w:pPr>
      <w:r w:rsidRPr="001E3336">
        <w:rPr>
          <w:b/>
          <w:sz w:val="22"/>
          <w:lang w:val="en-CA"/>
        </w:rPr>
        <w:br/>
      </w:r>
      <w:r w:rsidR="00E37B36" w:rsidRPr="001E3336">
        <w:rPr>
          <w:caps/>
          <w:smallCaps/>
          <w:sz w:val="28"/>
          <w:lang w:val="en-CA"/>
        </w:rPr>
        <w:t>Catherine Frazee</w:t>
      </w:r>
      <w:r w:rsidR="002B62AA" w:rsidRPr="002B62AA">
        <w:rPr>
          <w:rStyle w:val="FootnoteReference"/>
          <w:sz w:val="28"/>
          <w:szCs w:val="28"/>
          <w:lang w:val="en-CA"/>
        </w:rPr>
        <w:footnoteReference w:customMarkFollows="1" w:id="1"/>
        <w:sym w:font="Symbol" w:char="F02A"/>
      </w:r>
    </w:p>
    <w:p w14:paraId="5649499B" w14:textId="2206488C" w:rsidR="00E37B36" w:rsidRPr="00E37B36" w:rsidRDefault="00E37B36" w:rsidP="00E37B36">
      <w:pPr>
        <w:jc w:val="right"/>
        <w:rPr>
          <w:smallCaps/>
          <w:sz w:val="24"/>
          <w:lang w:val="en-CA"/>
        </w:rPr>
      </w:pPr>
      <w:r w:rsidRPr="00E37B36">
        <w:rPr>
          <w:smallCaps/>
          <w:sz w:val="24"/>
          <w:lang w:val="en-CA"/>
        </w:rPr>
        <w:t>October 19, 2021</w:t>
      </w:r>
    </w:p>
    <w:p w14:paraId="4CE5727A" w14:textId="61DD4E65" w:rsidR="00B23D91" w:rsidRPr="001E3336" w:rsidRDefault="00B23D91" w:rsidP="00E37B36">
      <w:pPr>
        <w:pStyle w:val="Title"/>
        <w:spacing w:after="0"/>
        <w:jc w:val="both"/>
        <w:rPr>
          <w:caps/>
          <w:smallCaps w:val="0"/>
          <w:sz w:val="28"/>
          <w:lang w:val="en-CA"/>
        </w:rPr>
      </w:pPr>
    </w:p>
    <w:p w14:paraId="7A9BE0B2" w14:textId="3E13B044" w:rsidR="00E37B36" w:rsidRPr="002B62AA" w:rsidRDefault="00437FF7" w:rsidP="00E37B36">
      <w:pPr>
        <w:pStyle w:val="Body"/>
        <w:rPr>
          <w:sz w:val="20"/>
          <w:szCs w:val="20"/>
        </w:rPr>
      </w:pPr>
      <w:r w:rsidRPr="002B62AA">
        <w:rPr>
          <w:sz w:val="20"/>
          <w:szCs w:val="20"/>
        </w:rPr>
        <w:t xml:space="preserve">I speak this morning from the ancestral and unceded territory of the Mi'kmaq First Nation. I am a settler here, and from this place I offer my words today in the spirit of respect and reconciliation. </w:t>
      </w:r>
    </w:p>
    <w:p w14:paraId="71ABAC48" w14:textId="5EA70521" w:rsidR="002B62AA" w:rsidRPr="002B62AA" w:rsidRDefault="002B62AA" w:rsidP="002B62AA">
      <w:pPr>
        <w:rPr>
          <w:b/>
        </w:rPr>
      </w:pPr>
      <w:r>
        <w:rPr>
          <w:b/>
        </w:rPr>
        <w:t xml:space="preserve">1. </w:t>
      </w:r>
      <w:r w:rsidRPr="002B62AA">
        <w:rPr>
          <w:b/>
        </w:rPr>
        <w:t xml:space="preserve">Case Study Background: Bill C-7 and the VPS </w:t>
      </w:r>
    </w:p>
    <w:p w14:paraId="287911B5" w14:textId="44163BC6" w:rsidR="002B62AA" w:rsidRDefault="002B62AA" w:rsidP="002B62AA">
      <w:r>
        <w:t xml:space="preserve">A few months ago, I was part of a small contingent that came to speak with the </w:t>
      </w:r>
      <w:r w:rsidRPr="00F73850">
        <w:rPr>
          <w:i/>
        </w:rPr>
        <w:t>We</w:t>
      </w:r>
      <w:r w:rsidR="00F73850" w:rsidRPr="00F73850">
        <w:rPr>
          <w:i/>
        </w:rPr>
        <w:t xml:space="preserve"> </w:t>
      </w:r>
      <w:r w:rsidRPr="00F73850">
        <w:rPr>
          <w:i/>
        </w:rPr>
        <w:t>Count</w:t>
      </w:r>
      <w:r>
        <w:t xml:space="preserve"> project team on behalf of a larger working group of experts and advisors in disability justice, social policy, law, ethics and medicine who authored and mobilized the </w:t>
      </w:r>
      <w:hyperlink r:id="rId8" w:history="1">
        <w:r w:rsidRPr="00F73850">
          <w:rPr>
            <w:rStyle w:val="Hyperlink"/>
          </w:rPr>
          <w:t>Vulnerable Persons Standard</w:t>
        </w:r>
      </w:hyperlink>
      <w:r>
        <w:t xml:space="preserve"> [the VPS] in 2016. The VPS is</w:t>
      </w:r>
      <w:r w:rsidR="00F73850">
        <w:t xml:space="preserve"> a</w:t>
      </w:r>
      <w:r>
        <w:t xml:space="preserve"> detailed policy standard intended to be used as a benchmark for any regime that permits medical assistance in dying, to do so in a way that does not put marginalized, disadvantaged or vulnerable persons at risk of harm or abuse.</w:t>
      </w:r>
    </w:p>
    <w:p w14:paraId="47A916EF" w14:textId="2E08E935" w:rsidR="002B62AA" w:rsidRDefault="002B62AA" w:rsidP="002B62AA">
      <w:r>
        <w:t xml:space="preserve">We were drawn to approach </w:t>
      </w:r>
      <w:r w:rsidRPr="00F73850">
        <w:rPr>
          <w:i/>
        </w:rPr>
        <w:t>We Count</w:t>
      </w:r>
      <w:r>
        <w:t xml:space="preserve"> because of legal and political developments triggered by a 2019 Québec court decision [the </w:t>
      </w:r>
      <w:hyperlink r:id="rId9" w:history="1">
        <w:r w:rsidRPr="00F73850">
          <w:rPr>
            <w:rStyle w:val="Hyperlink"/>
          </w:rPr>
          <w:t>Truchon case</w:t>
        </w:r>
      </w:hyperlink>
      <w:r>
        <w:t xml:space="preserve">] and a subsequent lawmaking process that culminated in the passage of </w:t>
      </w:r>
      <w:hyperlink r:id="rId10" w:history="1">
        <w:r w:rsidRPr="00027EA8">
          <w:rPr>
            <w:rStyle w:val="Hyperlink"/>
          </w:rPr>
          <w:t>Bill C</w:t>
        </w:r>
        <w:r w:rsidR="00027EA8">
          <w:rPr>
            <w:rStyle w:val="Hyperlink"/>
          </w:rPr>
          <w:t>-</w:t>
        </w:r>
        <w:r w:rsidRPr="00027EA8">
          <w:rPr>
            <w:rStyle w:val="Hyperlink"/>
          </w:rPr>
          <w:t>7</w:t>
        </w:r>
      </w:hyperlink>
      <w:r>
        <w:t xml:space="preserve"> in March of this year.</w:t>
      </w:r>
      <w:r w:rsidR="00027EA8">
        <w:t xml:space="preserve"> Many </w:t>
      </w:r>
      <w:r>
        <w:t>of you know this but just so we are all on the same page, Bill C</w:t>
      </w:r>
      <w:r w:rsidR="00027EA8">
        <w:t>-</w:t>
      </w:r>
      <w:r>
        <w:t>7 essentially gutted every pillar of the Vulnerable Persons Standard, by creating a special supplementary pathway to assisted death for persons with “grievous and irremediable medical conditions” – a phrase that effectively</w:t>
      </w:r>
      <w:r w:rsidR="00027EA8">
        <w:t xml:space="preserve"> –</w:t>
      </w:r>
      <w:r>
        <w:t xml:space="preserve"> and in practice</w:t>
      </w:r>
      <w:r w:rsidR="00027EA8">
        <w:t xml:space="preserve"> –</w:t>
      </w:r>
      <w:r>
        <w:t xml:space="preserve"> includes all persons with incurable disabilities. Prior to the passage of Bill C</w:t>
      </w:r>
      <w:r w:rsidR="00027EA8">
        <w:t>-</w:t>
      </w:r>
      <w:r>
        <w:t>7, a person’s natural death had to be reasonably foreseeable in order to be approved for a medically assisted death. This safeguard was and remains a cornerstone principle of the VPS</w:t>
      </w:r>
      <w:r w:rsidR="00027EA8">
        <w:t xml:space="preserve"> but </w:t>
      </w:r>
      <w:r>
        <w:t xml:space="preserve">is no longer a system guardrail </w:t>
      </w:r>
      <w:r>
        <w:lastRenderedPageBreak/>
        <w:t>to protect disabled persons from suicidal desires or inducements and social pressure to end their lives</w:t>
      </w:r>
      <w:r w:rsidR="001A6E74">
        <w:rPr>
          <w:rStyle w:val="FootnoteReference"/>
        </w:rPr>
        <w:footnoteReference w:id="2"/>
      </w:r>
      <w:r>
        <w:t>.</w:t>
      </w:r>
    </w:p>
    <w:p w14:paraId="3CE1A1EC" w14:textId="2003F83B" w:rsidR="002B62AA" w:rsidRDefault="002B62AA" w:rsidP="002B62AA">
      <w:r>
        <w:t>As I think everyone</w:t>
      </w:r>
      <w:r w:rsidR="001A6E74">
        <w:t xml:space="preserve"> here </w:t>
      </w:r>
      <w:r>
        <w:t>appreciates, Canada’s disability rights and disability justice communities came together with a rather unprecedented level of</w:t>
      </w:r>
      <w:r w:rsidR="00993703">
        <w:t xml:space="preserve"> solidarity </w:t>
      </w:r>
      <w:r>
        <w:t>to oppose the passage of Bill C</w:t>
      </w:r>
      <w:r w:rsidR="001A6E74">
        <w:t>-</w:t>
      </w:r>
      <w:r>
        <w:t>7, and the VPS became part of a vocal and energized resistance seeking to defend the bulwark of a “reasonably foreseeable natural death” threshold for all persons, regardless of disability status. Press conferences, street demonstrations, policy briefs, backroom lobbying, impassioned testimony</w:t>
      </w:r>
      <w:r w:rsidR="007602AB">
        <w:t>, round-the-clock vigils</w:t>
      </w:r>
      <w:r>
        <w:t xml:space="preserve"> – we left it all on the field.</w:t>
      </w:r>
    </w:p>
    <w:p w14:paraId="370D9F12" w14:textId="3F6F4267" w:rsidR="002B62AA" w:rsidRDefault="002B62AA" w:rsidP="002B62AA">
      <w:r>
        <w:t xml:space="preserve">But the </w:t>
      </w:r>
      <w:r w:rsidR="00993703">
        <w:t>B</w:t>
      </w:r>
      <w:r>
        <w:t>ill passed. And in its final form it was even more nightmarish in its scope, expanding eligibility on the basis of mental health condition, even in the absence of any other disability, illness or disease.</w:t>
      </w:r>
    </w:p>
    <w:p w14:paraId="209C4231" w14:textId="00BAAB95" w:rsidR="002B62AA" w:rsidRDefault="002B62AA" w:rsidP="002B62AA">
      <w:r>
        <w:t>We are still reeling, still regrouping, still gathering strength and resources as we seek to move from reacting and defending to initiating our own litigation and advocacy claims, both domestically and internationally. Like me, many of</w:t>
      </w:r>
      <w:r w:rsidR="001A6E74">
        <w:t xml:space="preserve"> you </w:t>
      </w:r>
      <w:r>
        <w:t>are up to</w:t>
      </w:r>
      <w:r w:rsidR="001A6E74">
        <w:t xml:space="preserve"> your </w:t>
      </w:r>
      <w:r>
        <w:t xml:space="preserve">ears in this ongoing, relentless work. And part of that </w:t>
      </w:r>
      <w:r w:rsidR="001A6E74">
        <w:t>work</w:t>
      </w:r>
      <w:r>
        <w:t xml:space="preserve"> is the postmortem – coming to an understanding of how, for all of our efforts, we failed to make a dent in the wall of a so-called consensus that this change in the law was overwhelmingly supported by evidence and public opinion shaped by</w:t>
      </w:r>
      <w:r w:rsidR="001A6E74">
        <w:t xml:space="preserve"> that </w:t>
      </w:r>
      <w:r>
        <w:t>evidence.</w:t>
      </w:r>
    </w:p>
    <w:p w14:paraId="25A424AC" w14:textId="69A157C9" w:rsidR="002B62AA" w:rsidRDefault="002B62AA" w:rsidP="002B62AA">
      <w:r>
        <w:t xml:space="preserve">That’s what brought the VPS to </w:t>
      </w:r>
      <w:r w:rsidRPr="007602AB">
        <w:rPr>
          <w:i/>
          <w:iCs/>
        </w:rPr>
        <w:t>We Count</w:t>
      </w:r>
      <w:r>
        <w:t xml:space="preserve">. It’s right there on the </w:t>
      </w:r>
      <w:r w:rsidRPr="007602AB">
        <w:rPr>
          <w:i/>
          <w:iCs/>
        </w:rPr>
        <w:t>We Count</w:t>
      </w:r>
      <w:r>
        <w:t xml:space="preserve"> </w:t>
      </w:r>
      <w:hyperlink r:id="rId11" w:history="1">
        <w:r w:rsidRPr="007602AB">
          <w:rPr>
            <w:rStyle w:val="Hyperlink"/>
          </w:rPr>
          <w:t>website</w:t>
        </w:r>
      </w:hyperlink>
      <w:r>
        <w:t xml:space="preserve">, which introduces a highly skilled team of people seeking to intervene effectively when groups of people find that </w:t>
      </w:r>
      <w:r w:rsidRPr="00551DFF">
        <w:t>“Their needs are either not captured in data, eliminated from the data set as outliers, or overwhelmed by majority data.”</w:t>
      </w:r>
      <w:r>
        <w:t xml:space="preserve"> </w:t>
      </w:r>
    </w:p>
    <w:p w14:paraId="251FB047" w14:textId="77777777" w:rsidR="002B62AA" w:rsidRDefault="002B62AA" w:rsidP="002B62AA">
      <w:r>
        <w:t xml:space="preserve">Urgent concerns sidestepped? Check. </w:t>
      </w:r>
    </w:p>
    <w:p w14:paraId="4BBA6CCF" w14:textId="77777777" w:rsidR="002B62AA" w:rsidRDefault="002B62AA" w:rsidP="002B62AA">
      <w:r>
        <w:t xml:space="preserve">Data eliminated from the discussion? Check. </w:t>
      </w:r>
    </w:p>
    <w:p w14:paraId="49ED12F2" w14:textId="77777777" w:rsidR="002B62AA" w:rsidRDefault="002B62AA" w:rsidP="002B62AA">
      <w:r>
        <w:t xml:space="preserve">Steamrolled by the majority? Check. </w:t>
      </w:r>
    </w:p>
    <w:p w14:paraId="26FCAE46" w14:textId="77777777" w:rsidR="002B62AA" w:rsidRDefault="002B62AA" w:rsidP="002B62AA">
      <w:r>
        <w:t xml:space="preserve">“That’s us”, we said. </w:t>
      </w:r>
      <w:r w:rsidRPr="007602AB">
        <w:rPr>
          <w:i/>
          <w:iCs/>
        </w:rPr>
        <w:t xml:space="preserve">We Count </w:t>
      </w:r>
      <w:r>
        <w:t>is speaking to us.</w:t>
      </w:r>
    </w:p>
    <w:p w14:paraId="46B67D89" w14:textId="730FE405" w:rsidR="007602AB" w:rsidRDefault="002B62AA" w:rsidP="002B62AA">
      <w:r>
        <w:t>And that’s how this all started.</w:t>
      </w:r>
    </w:p>
    <w:p w14:paraId="43AB86AE" w14:textId="77777777" w:rsidR="007602AB" w:rsidRDefault="007602AB">
      <w:pPr>
        <w:spacing w:after="0" w:line="240" w:lineRule="auto"/>
        <w:jc w:val="left"/>
      </w:pPr>
      <w:r>
        <w:br w:type="page"/>
      </w:r>
    </w:p>
    <w:p w14:paraId="61FABCE5" w14:textId="3C9CC681" w:rsidR="002B62AA" w:rsidRPr="002B62AA" w:rsidRDefault="002B62AA" w:rsidP="002B62AA">
      <w:pPr>
        <w:rPr>
          <w:b/>
          <w:bCs/>
        </w:rPr>
      </w:pPr>
      <w:r>
        <w:lastRenderedPageBreak/>
        <w:t>2.</w:t>
      </w:r>
      <w:r>
        <w:rPr>
          <w:b/>
        </w:rPr>
        <w:t xml:space="preserve"> Data Challenge: Bill</w:t>
      </w:r>
      <w:r w:rsidR="00F73850">
        <w:rPr>
          <w:b/>
        </w:rPr>
        <w:t xml:space="preserve"> C-7 </w:t>
      </w:r>
      <w:r>
        <w:rPr>
          <w:b/>
        </w:rPr>
        <w:t>and</w:t>
      </w:r>
      <w:r w:rsidR="00F73850">
        <w:rPr>
          <w:b/>
        </w:rPr>
        <w:t xml:space="preserve"> Disability Justice</w:t>
      </w:r>
    </w:p>
    <w:p w14:paraId="6B2D8C02" w14:textId="34B09E0A" w:rsidR="002B62AA" w:rsidRDefault="007602AB" w:rsidP="002B62AA">
      <w:r>
        <w:t xml:space="preserve">For </w:t>
      </w:r>
      <w:r w:rsidR="002B62AA">
        <w:t>the purposes of this</w:t>
      </w:r>
      <w:r>
        <w:t xml:space="preserve"> case study</w:t>
      </w:r>
      <w:r w:rsidR="002B62AA">
        <w:t>, our focus isn’t on policy positions or political strategies, or even whether you support MAiD in its present form or not. Our focus is on the data that ultimately give rise to and support the policy positions and political strategies we choose.</w:t>
      </w:r>
    </w:p>
    <w:p w14:paraId="4D611B5E" w14:textId="4F12DB3C" w:rsidR="002B62AA" w:rsidRDefault="002B62AA" w:rsidP="002B62AA">
      <w:r>
        <w:t>Disability rights defenders were the outliers in the Bill C</w:t>
      </w:r>
      <w:r w:rsidR="007602AB">
        <w:t>-</w:t>
      </w:r>
      <w:r>
        <w:t>7 debates and that fact proved determinative of the outcome of those debates.</w:t>
      </w:r>
      <w:r w:rsidR="007602AB">
        <w:t xml:space="preserve"> To </w:t>
      </w:r>
      <w:r>
        <w:t>tease out the various kinds of data that were overlooked or sidestepped or overruled in our every intervention, we started with the following question:</w:t>
      </w:r>
    </w:p>
    <w:p w14:paraId="2163BBB1" w14:textId="687A950E" w:rsidR="002B62AA" w:rsidRPr="007602AB" w:rsidRDefault="002B62AA" w:rsidP="007602AB">
      <w:pPr>
        <w:ind w:left="397" w:right="397"/>
        <w:rPr>
          <w:i/>
          <w:iCs/>
        </w:rPr>
      </w:pPr>
      <w:r w:rsidRPr="007602AB">
        <w:rPr>
          <w:i/>
          <w:iCs/>
        </w:rPr>
        <w:t>What is the evidentiary challenge that our VPS community, and members of a broad and diverse disability rights coalition, faced in the litigation and policy debates leading up to the passage of Bill C</w:t>
      </w:r>
      <w:r w:rsidR="007602AB">
        <w:rPr>
          <w:i/>
          <w:iCs/>
        </w:rPr>
        <w:t>-</w:t>
      </w:r>
      <w:r w:rsidRPr="007602AB">
        <w:rPr>
          <w:i/>
          <w:iCs/>
        </w:rPr>
        <w:t>7 – an amendment to Canada’s Criminal Code exemption for medically assisted death?</w:t>
      </w:r>
    </w:p>
    <w:p w14:paraId="0A244747" w14:textId="5B44006E" w:rsidR="002B62AA" w:rsidRDefault="002B62AA" w:rsidP="002B62AA">
      <w:r>
        <w:t>Many of you who were as involved as I was will have your own framings of that challenge, but I’ll just take a couple of minutes to</w:t>
      </w:r>
      <w:r w:rsidR="007602AB">
        <w:t xml:space="preserve"> suggest </w:t>
      </w:r>
      <w:r>
        <w:t>what stands out for me.</w:t>
      </w:r>
    </w:p>
    <w:p w14:paraId="2CCF1755" w14:textId="4A73732E" w:rsidR="002B62AA" w:rsidRPr="00245EDE" w:rsidRDefault="00806378" w:rsidP="002B62AA">
      <w:pPr>
        <w:pStyle w:val="ListParagraph"/>
        <w:numPr>
          <w:ilvl w:val="0"/>
          <w:numId w:val="10"/>
        </w:numPr>
        <w:spacing w:after="160" w:line="259" w:lineRule="auto"/>
        <w:jc w:val="left"/>
      </w:pPr>
      <w:r w:rsidRPr="00806378">
        <w:rPr>
          <w:b/>
          <w:bCs/>
          <w:u w:val="single"/>
        </w:rPr>
        <w:t>Decontextualized Data</w:t>
      </w:r>
      <w:r>
        <w:rPr>
          <w:b/>
          <w:bCs/>
        </w:rPr>
        <w:t xml:space="preserve"> </w:t>
      </w:r>
      <w:r>
        <w:rPr>
          <w:b/>
          <w:bCs/>
        </w:rPr>
        <w:br/>
      </w:r>
      <w:r w:rsidR="002B62AA" w:rsidRPr="00171463">
        <w:rPr>
          <w:b/>
          <w:bCs/>
        </w:rPr>
        <w:t xml:space="preserve">Data collected by provincial and federal governments to monitor for adverse effects in the MAiD regime fail to capture any measure of ambivalence or injustice that factor in a disabled person’s death by MAiD. </w:t>
      </w:r>
      <w:r w:rsidR="002B62AA">
        <w:t>The current monitoring system does not capture the crucial particulars, for example, of Sean Tagert’s final days before his MAiD death</w:t>
      </w:r>
      <w:r>
        <w:rPr>
          <w:rStyle w:val="FootnoteReference"/>
        </w:rPr>
        <w:footnoteReference w:id="3"/>
      </w:r>
      <w:r w:rsidR="002B62AA">
        <w:t>, during which he continued to plead for the few extra hours of paid homecare that would have saved him from what he called the “death sentence” of a forced removal from his family to an institution hours away from home. Nor does the monitoring system capture the filth and stench of the room in a long-term care institution where Chris Gladders surrendered his life to MAiD</w:t>
      </w:r>
      <w:r>
        <w:rPr>
          <w:rStyle w:val="FootnoteReference"/>
        </w:rPr>
        <w:footnoteReference w:id="4"/>
      </w:r>
      <w:r w:rsidR="002B62AA">
        <w:t xml:space="preserve">. Both of these cases simply count as </w:t>
      </w:r>
      <w:r>
        <w:t>‘</w:t>
      </w:r>
      <w:r w:rsidR="002B62AA">
        <w:t>autonomous choices</w:t>
      </w:r>
      <w:r>
        <w:t>’</w:t>
      </w:r>
      <w:r w:rsidR="002B62AA">
        <w:t xml:space="preserve"> made by </w:t>
      </w:r>
      <w:r>
        <w:t>‘</w:t>
      </w:r>
      <w:r w:rsidR="002B62AA">
        <w:t>capable adults</w:t>
      </w:r>
      <w:r>
        <w:t>’</w:t>
      </w:r>
      <w:r w:rsidR="002B62AA">
        <w:t xml:space="preserve"> to end their lives because of intolerable suffering arising from</w:t>
      </w:r>
      <w:r>
        <w:t xml:space="preserve"> a ‘medical condition’</w:t>
      </w:r>
      <w:r w:rsidR="002B62AA">
        <w:t xml:space="preserve">. In other words, the data that </w:t>
      </w:r>
      <w:r w:rsidR="00BF0D09">
        <w:t xml:space="preserve">would </w:t>
      </w:r>
      <w:r w:rsidR="002B62AA">
        <w:t>actually differentiate these cases from the</w:t>
      </w:r>
      <w:r>
        <w:t xml:space="preserve"> paradigm case of an </w:t>
      </w:r>
      <w:r w:rsidR="002B62AA">
        <w:t>80</w:t>
      </w:r>
      <w:r w:rsidR="003530E1">
        <w:t>-</w:t>
      </w:r>
      <w:r w:rsidR="002B62AA">
        <w:t>year</w:t>
      </w:r>
      <w:r w:rsidR="003530E1">
        <w:t>-</w:t>
      </w:r>
      <w:r w:rsidR="002B62AA">
        <w:t>old gentleman who dies in his comfortable king</w:t>
      </w:r>
      <w:r w:rsidR="003530E1">
        <w:t>-</w:t>
      </w:r>
      <w:r w:rsidR="002B62AA">
        <w:t>size bed looking out at the sunset after a lobster dinner with his loving family, simply never registers.</w:t>
      </w:r>
      <w:r w:rsidR="00777EA9">
        <w:t xml:space="preserve"> That’s not monitoring, it’s erasure.</w:t>
      </w:r>
    </w:p>
    <w:p w14:paraId="1FBED59F" w14:textId="7C005C5E" w:rsidR="002B62AA" w:rsidRDefault="003530E1" w:rsidP="002B62AA">
      <w:pPr>
        <w:pStyle w:val="ListParagraph"/>
        <w:numPr>
          <w:ilvl w:val="0"/>
          <w:numId w:val="10"/>
        </w:numPr>
        <w:spacing w:after="160" w:line="259" w:lineRule="auto"/>
        <w:jc w:val="left"/>
      </w:pPr>
      <w:r>
        <w:rPr>
          <w:b/>
          <w:bCs/>
          <w:u w:val="single"/>
        </w:rPr>
        <w:lastRenderedPageBreak/>
        <w:t>Data Exclusions</w:t>
      </w:r>
      <w:r w:rsidR="00777EA9">
        <w:rPr>
          <w:b/>
          <w:bCs/>
          <w:u w:val="single"/>
        </w:rPr>
        <w:t xml:space="preserve"> – “Anecdotes”</w:t>
      </w:r>
      <w:r>
        <w:rPr>
          <w:b/>
          <w:bCs/>
          <w:u w:val="single"/>
        </w:rPr>
        <w:t xml:space="preserve"> </w:t>
      </w:r>
      <w:r>
        <w:rPr>
          <w:b/>
          <w:bCs/>
          <w:u w:val="single"/>
        </w:rPr>
        <w:br/>
      </w:r>
      <w:r w:rsidR="002B62AA">
        <w:rPr>
          <w:b/>
          <w:bCs/>
        </w:rPr>
        <w:t>When alarming cases</w:t>
      </w:r>
      <w:r>
        <w:rPr>
          <w:rStyle w:val="FootnoteReference"/>
          <w:b/>
          <w:bCs/>
        </w:rPr>
        <w:footnoteReference w:id="5"/>
      </w:r>
      <w:r w:rsidR="002B62AA">
        <w:rPr>
          <w:b/>
          <w:bCs/>
        </w:rPr>
        <w:t xml:space="preserve"> – like Sean Tagert, Chris Gladders, Archie Rolland</w:t>
      </w:r>
      <w:r w:rsidR="00777EA9">
        <w:rPr>
          <w:rStyle w:val="FootnoteReference"/>
          <w:b/>
          <w:bCs/>
        </w:rPr>
        <w:footnoteReference w:id="6"/>
      </w:r>
      <w:r w:rsidR="002B62AA">
        <w:rPr>
          <w:b/>
          <w:bCs/>
        </w:rPr>
        <w:t>, and others, most recently, Rosina Kamis</w:t>
      </w:r>
      <w:r w:rsidR="009C218A">
        <w:rPr>
          <w:rStyle w:val="FootnoteReference"/>
          <w:b/>
          <w:bCs/>
        </w:rPr>
        <w:footnoteReference w:id="7"/>
      </w:r>
      <w:r w:rsidR="002B62AA">
        <w:rPr>
          <w:b/>
          <w:bCs/>
        </w:rPr>
        <w:t xml:space="preserve"> – come to light,</w:t>
      </w:r>
      <w:r w:rsidR="00D228FA">
        <w:rPr>
          <w:b/>
          <w:bCs/>
        </w:rPr>
        <w:t xml:space="preserve"> most </w:t>
      </w:r>
      <w:r w:rsidR="002B62AA">
        <w:rPr>
          <w:b/>
          <w:bCs/>
        </w:rPr>
        <w:t>frequently through social media, the</w:t>
      </w:r>
      <w:r w:rsidR="00BF0D09">
        <w:rPr>
          <w:b/>
          <w:bCs/>
        </w:rPr>
        <w:t>ir</w:t>
      </w:r>
      <w:r w:rsidR="002B62AA">
        <w:rPr>
          <w:b/>
          <w:bCs/>
        </w:rPr>
        <w:t xml:space="preserve"> particulars are not seen as evidence, but rather anecdote.</w:t>
      </w:r>
      <w:r w:rsidR="002B62AA">
        <w:t xml:space="preserve"> The </w:t>
      </w:r>
      <w:r w:rsidR="002B62AA" w:rsidRPr="00ED60B4">
        <w:t xml:space="preserve">Supreme Court of Canada, in its </w:t>
      </w:r>
      <w:r w:rsidR="002B62AA">
        <w:t xml:space="preserve">2015 </w:t>
      </w:r>
      <w:r w:rsidR="002B62AA" w:rsidRPr="00ED60B4">
        <w:t>judgement</w:t>
      </w:r>
      <w:r w:rsidR="002B62AA">
        <w:t xml:space="preserve"> in the Carter case – before we had a law permitting MAiD in Canada and were therefore presenting comparable cases from reports in Belgium and the Netherlands – made its position on what counts as evidence very clear. The court wrote: “Anecdotal examples of controversial cases abroad were cited in support of this argument, only to be countered by anecdotal examples of systems that work well. The resolution of the issue before us falls to be resolved not by competing </w:t>
      </w:r>
      <w:r w:rsidR="002B62AA" w:rsidRPr="00AC5840">
        <w:rPr>
          <w:i/>
          <w:iCs/>
        </w:rPr>
        <w:t>anecdotes</w:t>
      </w:r>
      <w:r w:rsidR="002B62AA">
        <w:t xml:space="preserve">, but by the </w:t>
      </w:r>
      <w:r w:rsidR="002B62AA" w:rsidRPr="00AC5840">
        <w:rPr>
          <w:i/>
          <w:iCs/>
        </w:rPr>
        <w:t>evidence</w:t>
      </w:r>
      <w:r w:rsidR="002B62AA">
        <w:t>.”</w:t>
      </w:r>
      <w:r w:rsidR="00D228FA">
        <w:rPr>
          <w:rStyle w:val="FootnoteReference"/>
        </w:rPr>
        <w:footnoteReference w:id="8"/>
      </w:r>
      <w:r w:rsidR="002B62AA">
        <w:t xml:space="preserve"> In a sense, we are left to conclude that</w:t>
      </w:r>
      <w:r w:rsidR="009C218A">
        <w:t xml:space="preserve"> anecdotes will not be treated as meaningful data, and in evidentiary terms,</w:t>
      </w:r>
      <w:r w:rsidR="002B62AA">
        <w:t xml:space="preserve"> every anecdote will be given equal weight, whether it describes a privileged life that comes to an idyllic end, or a case of systemic abuse and neglect that ends in a desperate capitulation.</w:t>
      </w:r>
      <w:r w:rsidR="009C218A">
        <w:t xml:space="preserve"> And injustice and inequity will prevail in lives relegated to the status of anecdote.</w:t>
      </w:r>
    </w:p>
    <w:p w14:paraId="77160202" w14:textId="3D5B5F50" w:rsidR="002B62AA" w:rsidRDefault="009C218A" w:rsidP="002B62AA">
      <w:pPr>
        <w:pStyle w:val="ListParagraph"/>
        <w:numPr>
          <w:ilvl w:val="0"/>
          <w:numId w:val="10"/>
        </w:numPr>
        <w:spacing w:after="160" w:line="259" w:lineRule="auto"/>
        <w:jc w:val="left"/>
      </w:pPr>
      <w:r w:rsidRPr="006F4C81">
        <w:rPr>
          <w:b/>
          <w:u w:val="single"/>
        </w:rPr>
        <w:t xml:space="preserve">Data </w:t>
      </w:r>
      <w:r w:rsidR="00D62786">
        <w:rPr>
          <w:b/>
          <w:u w:val="single"/>
        </w:rPr>
        <w:t>Handicapping</w:t>
      </w:r>
      <w:r w:rsidR="00D62786">
        <w:rPr>
          <w:rStyle w:val="FootnoteReference"/>
          <w:b/>
          <w:u w:val="single"/>
        </w:rPr>
        <w:footnoteReference w:id="9"/>
      </w:r>
      <w:r w:rsidR="00796F7F">
        <w:rPr>
          <w:b/>
          <w:u w:val="single"/>
        </w:rPr>
        <w:t xml:space="preserve"> </w:t>
      </w:r>
      <w:r>
        <w:rPr>
          <w:b/>
        </w:rPr>
        <w:t xml:space="preserve"> </w:t>
      </w:r>
      <w:r>
        <w:rPr>
          <w:b/>
        </w:rPr>
        <w:br/>
      </w:r>
      <w:r w:rsidR="002B62AA">
        <w:rPr>
          <w:b/>
        </w:rPr>
        <w:t xml:space="preserve">Data compiled and published in peer-reviewed journals from international jurisdictions with contemporary assisted dying regimes comparable to Canada’s </w:t>
      </w:r>
      <w:r w:rsidR="003C734C">
        <w:rPr>
          <w:b/>
        </w:rPr>
        <w:t xml:space="preserve">are </w:t>
      </w:r>
      <w:r w:rsidR="002B62AA">
        <w:rPr>
          <w:b/>
        </w:rPr>
        <w:t>dismissed as not relevant.</w:t>
      </w:r>
      <w:r w:rsidR="002B62AA">
        <w:t xml:space="preserve"> Presented with evidence of abuses under Belgium’s regime, the Supreme Court of Canada reasoned that “… </w:t>
      </w:r>
      <w:r w:rsidR="002B62AA" w:rsidRPr="00AA3018">
        <w:t>the</w:t>
      </w:r>
      <w:r w:rsidR="002B62AA">
        <w:t xml:space="preserve"> </w:t>
      </w:r>
      <w:r w:rsidR="002B62AA" w:rsidRPr="00AA3018">
        <w:t>permissive regime in Belgium is the product of a very different medico-legal culture.</w:t>
      </w:r>
      <w:r w:rsidR="002B62AA">
        <w:t>”</w:t>
      </w:r>
      <w:r w:rsidR="006F4C81">
        <w:rPr>
          <w:rStyle w:val="FootnoteReference"/>
        </w:rPr>
        <w:footnoteReference w:id="10"/>
      </w:r>
      <w:r w:rsidR="002B62AA">
        <w:t xml:space="preserve"> </w:t>
      </w:r>
      <w:r w:rsidR="007329C5">
        <w:t>And that was that for evidence that we had presented concerning the risk, broadly speaking, of the overzealous MAiD physician and the risk of a slide toward more and more permissive MAiD policy.</w:t>
      </w:r>
      <w:r w:rsidR="002B62AA">
        <w:t xml:space="preserve"> We are thus</w:t>
      </w:r>
      <w:r w:rsidR="00C41377">
        <w:t>, it seems,</w:t>
      </w:r>
      <w:r w:rsidR="002B62AA">
        <w:t xml:space="preserve"> faced with an additional evidentiary burden if we</w:t>
      </w:r>
      <w:r w:rsidR="00C41377">
        <w:t xml:space="preserve"> wish </w:t>
      </w:r>
      <w:r w:rsidR="002B62AA">
        <w:t xml:space="preserve">to </w:t>
      </w:r>
      <w:r w:rsidR="00C41377">
        <w:t>introduce</w:t>
      </w:r>
      <w:r w:rsidR="002B62AA">
        <w:t xml:space="preserve"> offshore data: proving that Canada’s “medico-legal culture” bears greater similarity to Belgium’s than what was believed to be the case in 2015. But how does one go about gathering evidence of culture?</w:t>
      </w:r>
      <w:r w:rsidR="00796F7F">
        <w:t xml:space="preserve"> And what novel sandtraps await us as we endeavour to meet the data threshold for such proof?</w:t>
      </w:r>
    </w:p>
    <w:p w14:paraId="22581159" w14:textId="114EB867" w:rsidR="002B62AA" w:rsidRPr="0080231F" w:rsidRDefault="00796F7F" w:rsidP="002B62AA">
      <w:pPr>
        <w:pStyle w:val="ListParagraph"/>
        <w:numPr>
          <w:ilvl w:val="0"/>
          <w:numId w:val="10"/>
        </w:numPr>
        <w:spacing w:after="160" w:line="259" w:lineRule="auto"/>
        <w:jc w:val="left"/>
        <w:rPr>
          <w:color w:val="000000" w:themeColor="text1"/>
        </w:rPr>
      </w:pPr>
      <w:r>
        <w:rPr>
          <w:b/>
          <w:u w:val="single"/>
        </w:rPr>
        <w:t>Data Policing</w:t>
      </w:r>
      <w:r>
        <w:rPr>
          <w:b/>
        </w:rPr>
        <w:br/>
        <w:t>M</w:t>
      </w:r>
      <w:r w:rsidR="002B62AA">
        <w:rPr>
          <w:b/>
        </w:rPr>
        <w:t xml:space="preserve">uch of the evidence that we consider relevant to understanding </w:t>
      </w:r>
      <w:r w:rsidR="002B62AA">
        <w:rPr>
          <w:b/>
        </w:rPr>
        <w:lastRenderedPageBreak/>
        <w:t xml:space="preserve">discriminatory trends and impacts is discounted as baseless, and disparaged as a </w:t>
      </w:r>
      <w:r w:rsidR="00D960CD">
        <w:rPr>
          <w:b/>
        </w:rPr>
        <w:t>“</w:t>
      </w:r>
      <w:r w:rsidR="002B62AA">
        <w:rPr>
          <w:b/>
        </w:rPr>
        <w:t>slippery slope</w:t>
      </w:r>
      <w:r w:rsidR="00D960CD">
        <w:rPr>
          <w:b/>
        </w:rPr>
        <w:t>”</w:t>
      </w:r>
      <w:r w:rsidR="002B62AA">
        <w:rPr>
          <w:b/>
        </w:rPr>
        <w:t xml:space="preserve"> argument. </w:t>
      </w:r>
      <w:r w:rsidR="002B62AA">
        <w:t xml:space="preserve">Factual references from </w:t>
      </w:r>
      <w:r w:rsidR="002B62AA" w:rsidRPr="00995C02">
        <w:t>history</w:t>
      </w:r>
      <w:r w:rsidR="002B62AA">
        <w:t xml:space="preserve"> –</w:t>
      </w:r>
      <w:r w:rsidR="002B62AA" w:rsidRPr="00995C02">
        <w:t xml:space="preserve"> for example, offering any fact-based analysis of the rise of eugenic practices in North America and Europe</w:t>
      </w:r>
      <w:r w:rsidR="002B62AA">
        <w:t xml:space="preserve"> –</w:t>
      </w:r>
      <w:r w:rsidR="002B62AA" w:rsidRPr="00995C02">
        <w:t xml:space="preserve"> is invariably shut down and often rebuked as irresponsible and hyperbolic</w:t>
      </w:r>
      <w:r w:rsidR="0082548E">
        <w:rPr>
          <w:rStyle w:val="FootnoteReference"/>
        </w:rPr>
        <w:footnoteReference w:id="11"/>
      </w:r>
      <w:r w:rsidR="002B62AA" w:rsidRPr="00995C02">
        <w:t xml:space="preserve">. By a similar kind of data policing, data drawn from reputable, peer-reviewed calculations of the healthcare cost savings attributable to MAiD </w:t>
      </w:r>
      <w:r w:rsidR="002B62AA">
        <w:t>(</w:t>
      </w:r>
      <w:r w:rsidR="002B62AA" w:rsidRPr="00995C02">
        <w:t>in the range of $35-$139 million annually</w:t>
      </w:r>
      <w:r w:rsidR="0082548E">
        <w:rPr>
          <w:rStyle w:val="FootnoteReference"/>
        </w:rPr>
        <w:footnoteReference w:id="12"/>
      </w:r>
      <w:r w:rsidR="002B62AA">
        <w:t>)</w:t>
      </w:r>
      <w:r w:rsidR="002B62AA" w:rsidRPr="00995C02">
        <w:t>, or government data showing a steep rise in MAiD cases from year to year (2020 marked a 34% increase over case numbers from 2019</w:t>
      </w:r>
      <w:r w:rsidR="001D02C1">
        <w:rPr>
          <w:rStyle w:val="FootnoteReference"/>
        </w:rPr>
        <w:footnoteReference w:id="13"/>
      </w:r>
      <w:r w:rsidR="002B62AA" w:rsidRPr="00995C02">
        <w:t>) are kept in discrete data silos, not considered as part of a narrowly prescribed field of</w:t>
      </w:r>
      <w:r w:rsidR="002B62AA">
        <w:t xml:space="preserve"> </w:t>
      </w:r>
      <w:r w:rsidR="002B62AA" w:rsidRPr="0080231F">
        <w:t>data</w:t>
      </w:r>
      <w:r w:rsidR="002B62AA" w:rsidRPr="0080231F">
        <w:rPr>
          <w:color w:val="000000" w:themeColor="text1"/>
        </w:rPr>
        <w:t xml:space="preserve"> deemed relevant to MAiD policy.</w:t>
      </w:r>
    </w:p>
    <w:p w14:paraId="279E384F" w14:textId="61013340" w:rsidR="002B62AA" w:rsidRPr="0080231F" w:rsidRDefault="00D960CD" w:rsidP="002B62AA">
      <w:pPr>
        <w:pStyle w:val="ListParagraph"/>
        <w:numPr>
          <w:ilvl w:val="0"/>
          <w:numId w:val="10"/>
        </w:numPr>
        <w:spacing w:after="160" w:line="259" w:lineRule="auto"/>
        <w:jc w:val="left"/>
        <w:rPr>
          <w:color w:val="000000" w:themeColor="text1"/>
        </w:rPr>
      </w:pPr>
      <w:r>
        <w:rPr>
          <w:b/>
          <w:bCs/>
          <w:color w:val="000000" w:themeColor="text1"/>
          <w:u w:val="single"/>
        </w:rPr>
        <w:t xml:space="preserve">Data </w:t>
      </w:r>
      <w:r w:rsidR="002157C9">
        <w:rPr>
          <w:b/>
          <w:bCs/>
          <w:color w:val="000000" w:themeColor="text1"/>
          <w:u w:val="single"/>
        </w:rPr>
        <w:t>Discrimination</w:t>
      </w:r>
      <w:r>
        <w:rPr>
          <w:b/>
          <w:bCs/>
          <w:color w:val="000000" w:themeColor="text1"/>
          <w:u w:val="single"/>
        </w:rPr>
        <w:br/>
      </w:r>
      <w:r w:rsidR="002B62AA" w:rsidRPr="0080231F">
        <w:rPr>
          <w:b/>
          <w:bCs/>
          <w:color w:val="000000" w:themeColor="text1"/>
        </w:rPr>
        <w:t xml:space="preserve">Data that does not meet a certain unspoken numeric threshold is not given due recognition, even though it comes from populations most directly impacted by MAiD policy. </w:t>
      </w:r>
      <w:r w:rsidR="002B62AA" w:rsidRPr="0080231F">
        <w:rPr>
          <w:color w:val="000000" w:themeColor="text1"/>
        </w:rPr>
        <w:t>Put more</w:t>
      </w:r>
      <w:r w:rsidR="002B62AA" w:rsidRPr="0080231F">
        <w:rPr>
          <w:b/>
          <w:bCs/>
          <w:color w:val="000000" w:themeColor="text1"/>
        </w:rPr>
        <w:t xml:space="preserve"> </w:t>
      </w:r>
      <w:r w:rsidR="002B62AA" w:rsidRPr="0080231F">
        <w:rPr>
          <w:color w:val="000000" w:themeColor="text1"/>
        </w:rPr>
        <w:t>simply, if MAiD policymaking is essentially a numbers game, we lose.</w:t>
      </w:r>
      <w:r w:rsidR="002B62AA" w:rsidRPr="0080231F">
        <w:rPr>
          <w:b/>
          <w:bCs/>
          <w:color w:val="000000" w:themeColor="text1"/>
        </w:rPr>
        <w:t xml:space="preserve"> </w:t>
      </w:r>
      <w:r w:rsidR="002B62AA" w:rsidRPr="0080231F">
        <w:rPr>
          <w:color w:val="000000" w:themeColor="text1"/>
        </w:rPr>
        <w:t>Throughout th</w:t>
      </w:r>
      <w:r w:rsidR="006A3BC4">
        <w:rPr>
          <w:color w:val="000000" w:themeColor="text1"/>
        </w:rPr>
        <w:t>at dark and sord</w:t>
      </w:r>
      <w:r w:rsidR="001D02C1">
        <w:rPr>
          <w:color w:val="000000" w:themeColor="text1"/>
        </w:rPr>
        <w:t>id</w:t>
      </w:r>
      <w:r w:rsidR="006A3BC4">
        <w:rPr>
          <w:color w:val="000000" w:themeColor="text1"/>
        </w:rPr>
        <w:t xml:space="preserve"> chapter of </w:t>
      </w:r>
      <w:r w:rsidR="006A3BC4" w:rsidRPr="006A3BC4">
        <w:rPr>
          <w:i/>
          <w:iCs/>
          <w:color w:val="000000" w:themeColor="text1"/>
        </w:rPr>
        <w:t>Life in Disabled Country</w:t>
      </w:r>
      <w:r w:rsidR="006A3BC4">
        <w:rPr>
          <w:rStyle w:val="FootnoteReference"/>
          <w:i/>
          <w:iCs/>
          <w:color w:val="000000" w:themeColor="text1"/>
        </w:rPr>
        <w:footnoteReference w:id="14"/>
      </w:r>
      <w:r w:rsidR="002B62AA" w:rsidRPr="0080231F">
        <w:rPr>
          <w:color w:val="000000" w:themeColor="text1"/>
        </w:rPr>
        <w:t xml:space="preserve"> </w:t>
      </w:r>
      <w:r w:rsidR="006A3BC4">
        <w:rPr>
          <w:color w:val="000000" w:themeColor="text1"/>
        </w:rPr>
        <w:t xml:space="preserve">that was </w:t>
      </w:r>
      <w:r w:rsidR="002B62AA" w:rsidRPr="0080231F">
        <w:rPr>
          <w:color w:val="000000" w:themeColor="text1"/>
        </w:rPr>
        <w:t>Bill C</w:t>
      </w:r>
      <w:r>
        <w:rPr>
          <w:color w:val="000000" w:themeColor="text1"/>
        </w:rPr>
        <w:t>-</w:t>
      </w:r>
      <w:r w:rsidR="002B62AA" w:rsidRPr="0080231F">
        <w:rPr>
          <w:color w:val="000000" w:themeColor="text1"/>
        </w:rPr>
        <w:t>7</w:t>
      </w:r>
      <w:r w:rsidR="006A3BC4">
        <w:rPr>
          <w:color w:val="000000" w:themeColor="text1"/>
        </w:rPr>
        <w:t>,</w:t>
      </w:r>
      <w:r w:rsidR="002B62AA" w:rsidRPr="0080231F">
        <w:rPr>
          <w:color w:val="000000" w:themeColor="text1"/>
        </w:rPr>
        <w:t xml:space="preserve"> the</w:t>
      </w:r>
      <w:r w:rsidR="006A3BC4">
        <w:rPr>
          <w:color w:val="000000" w:themeColor="text1"/>
        </w:rPr>
        <w:t xml:space="preserve"> single</w:t>
      </w:r>
      <w:r w:rsidR="002B62AA" w:rsidRPr="0080231F">
        <w:rPr>
          <w:color w:val="000000" w:themeColor="text1"/>
        </w:rPr>
        <w:t xml:space="preserve"> most impenetrable narrative that we confronted was that expansion of MAiD to persons with disabling conditions who were not </w:t>
      </w:r>
      <w:r>
        <w:rPr>
          <w:color w:val="000000" w:themeColor="text1"/>
        </w:rPr>
        <w:t>n</w:t>
      </w:r>
      <w:r w:rsidR="002B62AA" w:rsidRPr="0080231F">
        <w:rPr>
          <w:color w:val="000000" w:themeColor="text1"/>
        </w:rPr>
        <w:t>earing the natural end of their lives was a legislative amendment that enjoyed broad popular support. The Minister of Justice often pointed out that the government had received over 300,000 responses to an online survey and that the Bill reflected a broad consensus in the range of 70%. Yet when we analysed a selected sample of duplicate copies of responses to that</w:t>
      </w:r>
      <w:r>
        <w:rPr>
          <w:color w:val="000000" w:themeColor="text1"/>
        </w:rPr>
        <w:t xml:space="preserve"> same</w:t>
      </w:r>
      <w:r w:rsidR="002B62AA" w:rsidRPr="0080231F">
        <w:rPr>
          <w:color w:val="000000" w:themeColor="text1"/>
        </w:rPr>
        <w:t xml:space="preserve"> survey filed by VPS supporters, a </w:t>
      </w:r>
      <w:hyperlink r:id="rId12" w:history="1">
        <w:r w:rsidR="002B62AA" w:rsidRPr="00D960CD">
          <w:rPr>
            <w:rStyle w:val="Hyperlink"/>
          </w:rPr>
          <w:t>different story of stakeholders</w:t>
        </w:r>
      </w:hyperlink>
      <w:r w:rsidR="002B62AA" w:rsidRPr="0080231F">
        <w:rPr>
          <w:color w:val="000000" w:themeColor="text1"/>
        </w:rPr>
        <w:t xml:space="preserve"> overwhelmingly opposed to the Bill emerged. But our sample size of 60</w:t>
      </w:r>
      <w:r w:rsidR="002B1386">
        <w:rPr>
          <w:color w:val="000000" w:themeColor="text1"/>
        </w:rPr>
        <w:t xml:space="preserve"> –</w:t>
      </w:r>
      <w:r w:rsidR="002B62AA" w:rsidRPr="0080231F">
        <w:rPr>
          <w:color w:val="000000" w:themeColor="text1"/>
        </w:rPr>
        <w:t xml:space="preserve"> a respectable number for qualitative analysis</w:t>
      </w:r>
      <w:r w:rsidR="002B1386">
        <w:rPr>
          <w:color w:val="000000" w:themeColor="text1"/>
        </w:rPr>
        <w:t xml:space="preserve"> – was</w:t>
      </w:r>
      <w:r w:rsidR="002B62AA" w:rsidRPr="0080231F">
        <w:rPr>
          <w:color w:val="000000" w:themeColor="text1"/>
        </w:rPr>
        <w:t xml:space="preserve"> no match for a dataset of 300,000 in quantitative terms.</w:t>
      </w:r>
      <w:r w:rsidR="002B62AA">
        <w:rPr>
          <w:color w:val="000000" w:themeColor="text1"/>
        </w:rPr>
        <w:t xml:space="preserve"> Our contribution to the data remained invisible.</w:t>
      </w:r>
    </w:p>
    <w:p w14:paraId="7BE2F248" w14:textId="35AEA93D" w:rsidR="002B62AA" w:rsidRDefault="00B04970" w:rsidP="002B62AA">
      <w:pPr>
        <w:pStyle w:val="ListParagraph"/>
        <w:numPr>
          <w:ilvl w:val="0"/>
          <w:numId w:val="10"/>
        </w:numPr>
        <w:spacing w:after="160" w:line="259" w:lineRule="auto"/>
        <w:jc w:val="left"/>
      </w:pPr>
      <w:r>
        <w:rPr>
          <w:b/>
          <w:bCs/>
          <w:u w:val="single"/>
        </w:rPr>
        <w:t>Data Devalu</w:t>
      </w:r>
      <w:r w:rsidR="002157C9">
        <w:rPr>
          <w:b/>
          <w:bCs/>
          <w:u w:val="single"/>
        </w:rPr>
        <w:t>ation</w:t>
      </w:r>
      <w:r>
        <w:rPr>
          <w:b/>
          <w:bCs/>
          <w:u w:val="single"/>
        </w:rPr>
        <w:t xml:space="preserve"> </w:t>
      </w:r>
      <w:r>
        <w:rPr>
          <w:b/>
          <w:bCs/>
          <w:u w:val="single"/>
        </w:rPr>
        <w:br/>
      </w:r>
      <w:r w:rsidR="002B62AA" w:rsidRPr="0080231F">
        <w:rPr>
          <w:b/>
          <w:bCs/>
        </w:rPr>
        <w:t>When disabled people speak vividly about the social, economic</w:t>
      </w:r>
      <w:r w:rsidR="002B62AA" w:rsidRPr="008374F0">
        <w:rPr>
          <w:b/>
          <w:bCs/>
        </w:rPr>
        <w:t xml:space="preserve">, and stigma-based stresses that undermine the will to live and are a common feature of our life-and-death interactions with medical personnel and healthcare institutions, our submissions are applauded for their </w:t>
      </w:r>
      <w:r w:rsidR="002B62AA" w:rsidRPr="00B04970">
        <w:rPr>
          <w:b/>
          <w:bCs/>
          <w:i/>
          <w:iCs/>
        </w:rPr>
        <w:t>authenticity</w:t>
      </w:r>
      <w:r w:rsidR="002B62AA" w:rsidRPr="008374F0">
        <w:rPr>
          <w:b/>
          <w:bCs/>
        </w:rPr>
        <w:t xml:space="preserve">, but seen as emotionally cathartic </w:t>
      </w:r>
      <w:r w:rsidR="002B62AA" w:rsidRPr="008374F0">
        <w:rPr>
          <w:b/>
          <w:bCs/>
        </w:rPr>
        <w:lastRenderedPageBreak/>
        <w:t>rather than</w:t>
      </w:r>
      <w:r>
        <w:rPr>
          <w:b/>
          <w:bCs/>
        </w:rPr>
        <w:t xml:space="preserve"> as data</w:t>
      </w:r>
      <w:r w:rsidR="002B62AA">
        <w:t>. When Gabrielle Peters</w:t>
      </w:r>
      <w:r w:rsidR="002A3EB4">
        <w:rPr>
          <w:rStyle w:val="FootnoteReference"/>
        </w:rPr>
        <w:footnoteReference w:id="15"/>
      </w:r>
      <w:r w:rsidR="002B62AA">
        <w:t xml:space="preserve"> spoke to the Standing Senate Committee about the intersections of poverty and disability, when Sarah Jama</w:t>
      </w:r>
      <w:r w:rsidR="002A3EB4">
        <w:rPr>
          <w:rStyle w:val="FootnoteReference"/>
        </w:rPr>
        <w:footnoteReference w:id="16"/>
      </w:r>
      <w:r w:rsidR="002B62AA">
        <w:t xml:space="preserve"> exposed the systemic racist dimensions of Bill C</w:t>
      </w:r>
      <w:r w:rsidR="0080120E">
        <w:t>-</w:t>
      </w:r>
      <w:r w:rsidR="002B62AA">
        <w:t>7, when Heidi Janz</w:t>
      </w:r>
      <w:r w:rsidR="002A3EB4">
        <w:rPr>
          <w:rStyle w:val="FootnoteReference"/>
        </w:rPr>
        <w:footnoteReference w:id="17"/>
      </w:r>
      <w:r w:rsidR="002B62AA">
        <w:t xml:space="preserve"> elaborated on her theory of medical ableism in the granular details of an emergency room encounter, Senators teared up and thanked everyone for their heartfelt and authentic submissions, but nothing registered as data.</w:t>
      </w:r>
    </w:p>
    <w:p w14:paraId="4C75AE37" w14:textId="089F6613" w:rsidR="002B62AA" w:rsidRPr="0080231F" w:rsidRDefault="00223C05" w:rsidP="002B62AA">
      <w:pPr>
        <w:pStyle w:val="ListParagraph"/>
        <w:numPr>
          <w:ilvl w:val="0"/>
          <w:numId w:val="10"/>
        </w:numPr>
        <w:spacing w:after="160" w:line="259" w:lineRule="auto"/>
        <w:jc w:val="left"/>
      </w:pPr>
      <w:r>
        <w:rPr>
          <w:b/>
          <w:u w:val="single"/>
        </w:rPr>
        <w:t xml:space="preserve">Data </w:t>
      </w:r>
      <w:r w:rsidR="002157C9">
        <w:rPr>
          <w:b/>
          <w:u w:val="single"/>
        </w:rPr>
        <w:t>Appropriation</w:t>
      </w:r>
      <w:r>
        <w:rPr>
          <w:b/>
          <w:u w:val="single"/>
        </w:rPr>
        <w:br/>
      </w:r>
      <w:r w:rsidR="002B62AA" w:rsidRPr="008374F0">
        <w:rPr>
          <w:b/>
        </w:rPr>
        <w:t>First-person accounts from lived experience are used selectively by policymakers to punctuate or illustrate an established point, but are never viewed as a legitimate basis for policy decisions.</w:t>
      </w:r>
      <w:r w:rsidR="002B62AA">
        <w:t xml:space="preserve"> </w:t>
      </w:r>
      <w:r>
        <w:t xml:space="preserve">I’ve heard this described as a form of data extraction. </w:t>
      </w:r>
      <w:r w:rsidR="00814F8E">
        <w:t xml:space="preserve">It’s a pet peeve of mine, and I don’t believe I’m alone. </w:t>
      </w:r>
      <w:r w:rsidR="002B62AA">
        <w:t xml:space="preserve">Our stories, in our voices, are </w:t>
      </w:r>
      <w:r>
        <w:t xml:space="preserve">mined and </w:t>
      </w:r>
      <w:r w:rsidR="002B62AA">
        <w:t xml:space="preserve">used as a literary interlude, a tool for </w:t>
      </w:r>
      <w:r w:rsidR="002B62AA" w:rsidRPr="008374F0">
        <w:rPr>
          <w:i/>
          <w:iCs/>
        </w:rPr>
        <w:t>policy-writing</w:t>
      </w:r>
      <w:r w:rsidR="002B62AA">
        <w:t xml:space="preserve">, but never a basis for </w:t>
      </w:r>
      <w:r w:rsidR="002B62AA" w:rsidRPr="008374F0">
        <w:rPr>
          <w:i/>
          <w:iCs/>
        </w:rPr>
        <w:t>policy-making</w:t>
      </w:r>
      <w:r w:rsidR="002B62AA" w:rsidRPr="008374F0">
        <w:rPr>
          <w:iCs/>
        </w:rPr>
        <w:t>. We therefore find our words and experiences, if used at all, used by apologists to signal their own virtues of compassion</w:t>
      </w:r>
      <w:r w:rsidR="00814F8E">
        <w:rPr>
          <w:iCs/>
        </w:rPr>
        <w:t xml:space="preserve"> or active listening</w:t>
      </w:r>
      <w:r w:rsidR="002B62AA" w:rsidRPr="008374F0">
        <w:rPr>
          <w:iCs/>
        </w:rPr>
        <w:t>, rather than as data to inform the</w:t>
      </w:r>
      <w:r w:rsidR="00814F8E">
        <w:rPr>
          <w:iCs/>
        </w:rPr>
        <w:t xml:space="preserve"> decisions </w:t>
      </w:r>
      <w:r w:rsidR="002B62AA" w:rsidRPr="008374F0">
        <w:rPr>
          <w:iCs/>
        </w:rPr>
        <w:t>of elected officials, their policy advisors, and the judges who consider contentious cases.</w:t>
      </w:r>
      <w:r w:rsidR="00814F8E">
        <w:rPr>
          <w:iCs/>
        </w:rPr>
        <w:t xml:space="preserve"> Our vivid and meticulous reports from Ground Zero in the struggle for dignity and equality </w:t>
      </w:r>
      <w:r w:rsidR="0080120E">
        <w:rPr>
          <w:iCs/>
        </w:rPr>
        <w:t xml:space="preserve"> too often </w:t>
      </w:r>
      <w:r w:rsidR="00814F8E">
        <w:rPr>
          <w:iCs/>
        </w:rPr>
        <w:t>appear as footnotes, rather than data points.</w:t>
      </w:r>
    </w:p>
    <w:p w14:paraId="59A949C6" w14:textId="3D392F0D" w:rsidR="002B62AA" w:rsidRDefault="00814F8E" w:rsidP="002B62AA">
      <w:pPr>
        <w:pStyle w:val="ListParagraph"/>
        <w:numPr>
          <w:ilvl w:val="0"/>
          <w:numId w:val="10"/>
        </w:numPr>
        <w:spacing w:after="160" w:line="259" w:lineRule="auto"/>
        <w:jc w:val="left"/>
      </w:pPr>
      <w:r>
        <w:rPr>
          <w:b/>
          <w:u w:val="single"/>
        </w:rPr>
        <w:t>Data Thwart</w:t>
      </w:r>
      <w:r w:rsidR="002157C9">
        <w:rPr>
          <w:b/>
          <w:u w:val="single"/>
        </w:rPr>
        <w:t>ing</w:t>
      </w:r>
      <w:r>
        <w:rPr>
          <w:b/>
          <w:u w:val="single"/>
        </w:rPr>
        <w:br/>
      </w:r>
      <w:r w:rsidR="002B62AA">
        <w:rPr>
          <w:b/>
        </w:rPr>
        <w:t>Certain policy norms, protocols and cultural conventions – ranging, for example, from patient confidentiality policies, to cultures of silence among self-regulating physicians, to journalistic preferences for uplifting and inspirational stories about disability – operate to</w:t>
      </w:r>
      <w:r>
        <w:rPr>
          <w:b/>
        </w:rPr>
        <w:t xml:space="preserve"> </w:t>
      </w:r>
      <w:r w:rsidR="00CD09CA">
        <w:rPr>
          <w:b/>
        </w:rPr>
        <w:t xml:space="preserve">thwart </w:t>
      </w:r>
      <w:r w:rsidR="002B62AA">
        <w:rPr>
          <w:b/>
        </w:rPr>
        <w:t xml:space="preserve">our access to data that </w:t>
      </w:r>
      <w:r w:rsidR="00CD09CA">
        <w:rPr>
          <w:b/>
        </w:rPr>
        <w:t xml:space="preserve">would </w:t>
      </w:r>
      <w:r w:rsidR="002B62AA">
        <w:rPr>
          <w:b/>
        </w:rPr>
        <w:t>reveal injustice and abuse in MAiD practice.</w:t>
      </w:r>
      <w:r w:rsidR="002B62AA">
        <w:t xml:space="preserve"> For example, while there is widespread chatter on social media and elsewhere about persons with disabilities driven to MAiD by conditions of unlivable poverty, or young persons in the prime of sexual maturity consenting to MAiD because they despair of ever having a romantic partner, we must rely for data on the faint hope of a physician whistleblower or the trend-</w:t>
      </w:r>
      <w:r w:rsidR="00CD09CA">
        <w:t>buck</w:t>
      </w:r>
      <w:r w:rsidR="002B62AA">
        <w:t xml:space="preserve">ing efforts of an investigative journalist, or the herculean efforts of a disabled person willing and able to document and disclose the </w:t>
      </w:r>
      <w:r w:rsidR="00CD09CA">
        <w:t xml:space="preserve"> very </w:t>
      </w:r>
      <w:r w:rsidR="002B62AA">
        <w:t>experience that has extinguished their will to live.</w:t>
      </w:r>
      <w:r w:rsidR="0080120E">
        <w:t xml:space="preserve"> We know the data exists, but we are thwarted at every turn from bringing it to light.</w:t>
      </w:r>
    </w:p>
    <w:p w14:paraId="4E8009F2" w14:textId="604A8750" w:rsidR="002B62AA" w:rsidRDefault="002B62AA" w:rsidP="002B62AA">
      <w:pPr>
        <w:ind w:left="360"/>
      </w:pPr>
      <w:r>
        <w:lastRenderedPageBreak/>
        <w:t>And there’s more. More ways in which, when it comes to arguably the most significant Criminal Code amendments ever to directly implicate the lives of people with disabilities, we have been left behind in a cloud of ableist</w:t>
      </w:r>
      <w:r w:rsidR="00CD09CA">
        <w:t xml:space="preserve"> and exclusionary</w:t>
      </w:r>
      <w:r>
        <w:t xml:space="preserve"> practice in the production, collection and reporting of data.</w:t>
      </w:r>
    </w:p>
    <w:p w14:paraId="00DC8369" w14:textId="77777777" w:rsidR="0080120E" w:rsidRDefault="00CD09CA" w:rsidP="00DB5F38">
      <w:pPr>
        <w:ind w:left="360"/>
      </w:pPr>
      <w:r>
        <w:t>The good news is that today and in ou</w:t>
      </w:r>
      <w:r w:rsidR="00641958">
        <w:t>r further d</w:t>
      </w:r>
      <w:r>
        <w:t>eliberations in the coming weeks, we have the opportunity, working in this unique co-design process,</w:t>
      </w:r>
      <w:r w:rsidR="00641958">
        <w:t xml:space="preserve"> </w:t>
      </w:r>
      <w:r>
        <w:t>to begin to untangle  and wrestle with  these exclusions</w:t>
      </w:r>
      <w:r w:rsidR="002B62AA">
        <w:t>.</w:t>
      </w:r>
      <w:r w:rsidR="00641958">
        <w:t xml:space="preserve"> </w:t>
      </w:r>
    </w:p>
    <w:p w14:paraId="504D1131" w14:textId="52EA4817" w:rsidR="00A7500B" w:rsidRPr="00DB5F38" w:rsidRDefault="00641958" w:rsidP="00DB5F38">
      <w:pPr>
        <w:ind w:left="360"/>
      </w:pPr>
      <w:r>
        <w:t>Thank</w:t>
      </w:r>
      <w:r w:rsidR="0080120E">
        <w:t xml:space="preserve"> you </w:t>
      </w:r>
      <w:r>
        <w:t>to each</w:t>
      </w:r>
      <w:r w:rsidR="002B62AA">
        <w:t xml:space="preserve"> of you for volunteering your time to help us tackle this </w:t>
      </w:r>
      <w:r>
        <w:t>data challeng</w:t>
      </w:r>
      <w:r w:rsidR="00DB5F38">
        <w:t xml:space="preserve">e. </w:t>
      </w:r>
    </w:p>
    <w:sectPr w:rsidR="00A7500B" w:rsidRPr="00DB5F38" w:rsidSect="00281C0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2880" w:bottom="1440" w:left="288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265C" w14:textId="77777777" w:rsidR="00C83071" w:rsidRDefault="00C83071" w:rsidP="008846B1">
      <w:pPr>
        <w:spacing w:after="0" w:line="240" w:lineRule="auto"/>
      </w:pPr>
      <w:r>
        <w:separator/>
      </w:r>
    </w:p>
  </w:endnote>
  <w:endnote w:type="continuationSeparator" w:id="0">
    <w:p w14:paraId="7CD1B30B" w14:textId="77777777" w:rsidR="00C83071" w:rsidRDefault="00C83071" w:rsidP="0088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4ECE" w14:textId="77777777" w:rsidR="00600F4B" w:rsidRDefault="0060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4651" w14:textId="3E8AD5F4" w:rsidR="008E169B" w:rsidRDefault="008E169B" w:rsidP="00142289">
    <w:pPr>
      <w:pStyle w:val="Footer"/>
      <w:spacing w:before="240"/>
      <w:jc w:val="center"/>
    </w:pPr>
    <w:r>
      <w:fldChar w:fldCharType="begin"/>
    </w:r>
    <w:r>
      <w:instrText xml:space="preserve"> PAGE   \* MERGEFORMAT </w:instrText>
    </w:r>
    <w:r>
      <w:fldChar w:fldCharType="separate"/>
    </w:r>
    <w:r w:rsidR="005431DB">
      <w:rPr>
        <w:noProof/>
      </w:rPr>
      <w:t>18</w:t>
    </w:r>
    <w:r>
      <w:rPr>
        <w:noProof/>
      </w:rPr>
      <w:fldChar w:fldCharType="end"/>
    </w:r>
  </w:p>
  <w:p w14:paraId="1D5258E6" w14:textId="77777777" w:rsidR="008E169B" w:rsidRDefault="008E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D59" w14:textId="519D25CE" w:rsidR="008E169B" w:rsidRDefault="008E169B" w:rsidP="00281C0B">
    <w:pPr>
      <w:pStyle w:val="Footer"/>
      <w:ind w:right="-202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D826" w14:textId="77777777" w:rsidR="00C83071" w:rsidRDefault="00C83071" w:rsidP="008846B1">
      <w:pPr>
        <w:spacing w:after="0" w:line="240" w:lineRule="auto"/>
      </w:pPr>
      <w:r>
        <w:separator/>
      </w:r>
    </w:p>
  </w:footnote>
  <w:footnote w:type="continuationSeparator" w:id="0">
    <w:p w14:paraId="310BEB18" w14:textId="77777777" w:rsidR="00C83071" w:rsidRDefault="00C83071" w:rsidP="008846B1">
      <w:pPr>
        <w:spacing w:after="0" w:line="240" w:lineRule="auto"/>
      </w:pPr>
      <w:r>
        <w:continuationSeparator/>
      </w:r>
    </w:p>
  </w:footnote>
  <w:footnote w:id="1">
    <w:p w14:paraId="7E9FABFE" w14:textId="33345C9F" w:rsidR="002B62AA" w:rsidRPr="00027EA8" w:rsidRDefault="002B62AA" w:rsidP="002B62AA">
      <w:pPr>
        <w:pStyle w:val="FootnoteText"/>
        <w:spacing w:after="120" w:line="240" w:lineRule="auto"/>
        <w:ind w:left="227" w:hanging="227"/>
        <w:jc w:val="left"/>
        <w:rPr>
          <w:sz w:val="16"/>
          <w:szCs w:val="16"/>
          <w:lang w:val="en-CA"/>
        </w:rPr>
      </w:pPr>
      <w:r>
        <w:rPr>
          <w:rStyle w:val="FootnoteReference"/>
        </w:rPr>
        <w:sym w:font="Symbol" w:char="F02A"/>
      </w:r>
      <w:r>
        <w:t xml:space="preserve"> </w:t>
      </w:r>
      <w:r>
        <w:tab/>
      </w:r>
      <w:r w:rsidRPr="00027EA8">
        <w:rPr>
          <w:i/>
          <w:sz w:val="16"/>
          <w:szCs w:val="16"/>
        </w:rPr>
        <w:t xml:space="preserve">Catherine Frazee is Professor Emerita in the School of Disability Studies at Ryerson University, and an </w:t>
      </w:r>
      <w:r w:rsidR="00027EA8">
        <w:rPr>
          <w:i/>
          <w:sz w:val="16"/>
          <w:szCs w:val="16"/>
        </w:rPr>
        <w:t>Advisor</w:t>
      </w:r>
      <w:r w:rsidRPr="00027EA8">
        <w:rPr>
          <w:i/>
          <w:sz w:val="16"/>
          <w:szCs w:val="16"/>
        </w:rPr>
        <w:t xml:space="preserve"> to the </w:t>
      </w:r>
      <w:hyperlink r:id="rId1" w:history="1">
        <w:r w:rsidRPr="00027EA8">
          <w:rPr>
            <w:rStyle w:val="Hyperlink"/>
            <w:i/>
            <w:sz w:val="16"/>
            <w:szCs w:val="16"/>
          </w:rPr>
          <w:t>Vulnerable Persons Standard</w:t>
        </w:r>
      </w:hyperlink>
      <w:r w:rsidRPr="00027EA8">
        <w:rPr>
          <w:i/>
          <w:sz w:val="16"/>
          <w:szCs w:val="16"/>
        </w:rPr>
        <w:t xml:space="preserve">.  </w:t>
      </w:r>
    </w:p>
  </w:footnote>
  <w:footnote w:id="2">
    <w:p w14:paraId="26E7690D" w14:textId="377C2F59" w:rsidR="001A6E74" w:rsidRDefault="001A6E74" w:rsidP="001A6E74">
      <w:pPr>
        <w:pStyle w:val="FootnoteText"/>
        <w:spacing w:line="240" w:lineRule="auto"/>
      </w:pPr>
      <w:r>
        <w:rPr>
          <w:rStyle w:val="FootnoteReference"/>
        </w:rPr>
        <w:footnoteRef/>
      </w:r>
      <w:r>
        <w:t xml:space="preserve"> </w:t>
      </w:r>
      <w:r w:rsidRPr="001A6E74">
        <w:rPr>
          <w:sz w:val="16"/>
          <w:szCs w:val="16"/>
        </w:rPr>
        <w:t>For a further commentary on this discriminatory framing, see "</w:t>
      </w:r>
      <w:hyperlink r:id="rId2" w:history="1">
        <w:r w:rsidRPr="001A6E74">
          <w:rPr>
            <w:rStyle w:val="Hyperlink"/>
            <w:sz w:val="16"/>
            <w:szCs w:val="16"/>
          </w:rPr>
          <w:t>Assisted Dying Legislation Puts Equality for People with Disabilities at Risk</w:t>
        </w:r>
      </w:hyperlink>
      <w:r w:rsidRPr="001A6E74">
        <w:rPr>
          <w:sz w:val="16"/>
          <w:szCs w:val="16"/>
        </w:rPr>
        <w:t>", Frazee, C., Globe and Mail, November 17, 2020.</w:t>
      </w:r>
    </w:p>
  </w:footnote>
  <w:footnote w:id="3">
    <w:p w14:paraId="26678550" w14:textId="300FB719" w:rsidR="00806378" w:rsidRPr="003530E1" w:rsidRDefault="00806378" w:rsidP="003530E1">
      <w:pPr>
        <w:pStyle w:val="FootnoteText"/>
        <w:spacing w:after="120" w:line="240" w:lineRule="auto"/>
        <w:jc w:val="left"/>
        <w:rPr>
          <w:sz w:val="16"/>
          <w:szCs w:val="16"/>
        </w:rPr>
      </w:pPr>
      <w:r>
        <w:rPr>
          <w:rStyle w:val="FootnoteReference"/>
        </w:rPr>
        <w:footnoteRef/>
      </w:r>
      <w:r>
        <w:t xml:space="preserve"> </w:t>
      </w:r>
      <w:hyperlink r:id="rId3" w:history="1">
        <w:r w:rsidR="00BF0D09" w:rsidRPr="005522AA">
          <w:rPr>
            <w:rStyle w:val="Hyperlink"/>
            <w:sz w:val="16"/>
            <w:szCs w:val="16"/>
          </w:rPr>
          <w:t>https://bc.ctvnews.ca/we-need-a-public-outcry-b-c-father-with-als-ends-life-after-struggle-to-stay-at-home-1.4543983</w:t>
        </w:r>
      </w:hyperlink>
      <w:r w:rsidR="00BF0D09">
        <w:rPr>
          <w:sz w:val="16"/>
          <w:szCs w:val="16"/>
        </w:rPr>
        <w:t xml:space="preserve"> </w:t>
      </w:r>
    </w:p>
  </w:footnote>
  <w:footnote w:id="4">
    <w:p w14:paraId="6B96417C" w14:textId="63895ACF" w:rsidR="00806378" w:rsidRDefault="00806378" w:rsidP="003530E1">
      <w:pPr>
        <w:pStyle w:val="FootnoteText"/>
        <w:spacing w:after="120" w:line="240" w:lineRule="auto"/>
        <w:jc w:val="left"/>
      </w:pPr>
      <w:r w:rsidRPr="003530E1">
        <w:rPr>
          <w:rStyle w:val="FootnoteReference"/>
          <w:sz w:val="16"/>
          <w:szCs w:val="16"/>
        </w:rPr>
        <w:footnoteRef/>
      </w:r>
      <w:r w:rsidRPr="003530E1">
        <w:rPr>
          <w:sz w:val="16"/>
          <w:szCs w:val="16"/>
        </w:rPr>
        <w:t xml:space="preserve">  https://www.cbc.ca/news/canada/hamilton/greycliff-manor-covid19-1.5891730</w:t>
      </w:r>
      <w:r w:rsidR="00AE5E42">
        <w:rPr>
          <w:sz w:val="16"/>
          <w:szCs w:val="16"/>
        </w:rPr>
        <w:t xml:space="preserve"> </w:t>
      </w:r>
      <w:r w:rsidR="00BF0D09">
        <w:rPr>
          <w:sz w:val="16"/>
          <w:szCs w:val="16"/>
        </w:rPr>
        <w:t xml:space="preserve">  </w:t>
      </w:r>
    </w:p>
  </w:footnote>
  <w:footnote w:id="5">
    <w:p w14:paraId="685E4B27" w14:textId="1B9C6170" w:rsidR="003530E1" w:rsidRPr="00796F7F" w:rsidRDefault="003530E1" w:rsidP="00796F7F">
      <w:pPr>
        <w:pStyle w:val="FootnoteText"/>
        <w:spacing w:after="60" w:line="240" w:lineRule="auto"/>
        <w:jc w:val="left"/>
        <w:rPr>
          <w:sz w:val="16"/>
          <w:szCs w:val="16"/>
        </w:rPr>
      </w:pPr>
      <w:r>
        <w:rPr>
          <w:rStyle w:val="FootnoteReference"/>
        </w:rPr>
        <w:footnoteRef/>
      </w:r>
      <w:r>
        <w:t xml:space="preserve"> </w:t>
      </w:r>
      <w:r w:rsidRPr="00796F7F">
        <w:rPr>
          <w:sz w:val="16"/>
          <w:szCs w:val="16"/>
        </w:rPr>
        <w:t xml:space="preserve">For more examples of cases that raise serious concerns of abuse and injustice, see "Cases of Concern: </w:t>
      </w:r>
      <w:hyperlink r:id="rId4" w:history="1">
        <w:r w:rsidRPr="00796F7F">
          <w:rPr>
            <w:rStyle w:val="Hyperlink"/>
            <w:sz w:val="16"/>
            <w:szCs w:val="16"/>
          </w:rPr>
          <w:t>Medical Assistance in Dying and the Inducements of Social Deprivation</w:t>
        </w:r>
      </w:hyperlink>
      <w:r w:rsidRPr="00796F7F">
        <w:rPr>
          <w:sz w:val="16"/>
          <w:szCs w:val="16"/>
        </w:rPr>
        <w:t>", Vulnerable Persons Standard, October 2021.</w:t>
      </w:r>
    </w:p>
  </w:footnote>
  <w:footnote w:id="6">
    <w:p w14:paraId="174528BB" w14:textId="56613143" w:rsidR="00777EA9" w:rsidRPr="00796F7F" w:rsidRDefault="00777EA9" w:rsidP="00796F7F">
      <w:pPr>
        <w:pStyle w:val="FootnoteText"/>
        <w:spacing w:after="60" w:line="240" w:lineRule="auto"/>
        <w:jc w:val="left"/>
        <w:rPr>
          <w:sz w:val="16"/>
          <w:szCs w:val="16"/>
        </w:rPr>
      </w:pPr>
      <w:r w:rsidRPr="00796F7F">
        <w:rPr>
          <w:rStyle w:val="FootnoteReference"/>
          <w:sz w:val="16"/>
          <w:szCs w:val="16"/>
        </w:rPr>
        <w:footnoteRef/>
      </w:r>
      <w:r w:rsidRPr="00796F7F">
        <w:rPr>
          <w:sz w:val="16"/>
          <w:szCs w:val="16"/>
        </w:rPr>
        <w:t xml:space="preserve"> </w:t>
      </w:r>
      <w:hyperlink r:id="rId5" w:history="1">
        <w:r w:rsidR="00796F7F" w:rsidRPr="001D71BA">
          <w:rPr>
            <w:rStyle w:val="Hyperlink"/>
            <w:sz w:val="16"/>
            <w:szCs w:val="16"/>
          </w:rPr>
          <w:t>https://montrealgazette.com/news/local-news/life-in-long-term-hospital-unbearable-montreal-man-with-als</w:t>
        </w:r>
      </w:hyperlink>
      <w:r w:rsidR="00796F7F">
        <w:rPr>
          <w:sz w:val="16"/>
          <w:szCs w:val="16"/>
        </w:rPr>
        <w:t xml:space="preserve"> </w:t>
      </w:r>
    </w:p>
  </w:footnote>
  <w:footnote w:id="7">
    <w:p w14:paraId="3453D6A0" w14:textId="36C31255" w:rsidR="009C218A" w:rsidRPr="00796F7F" w:rsidRDefault="009C218A" w:rsidP="00796F7F">
      <w:pPr>
        <w:pStyle w:val="FootnoteText"/>
        <w:spacing w:after="60" w:line="240" w:lineRule="auto"/>
        <w:jc w:val="left"/>
        <w:rPr>
          <w:sz w:val="16"/>
          <w:szCs w:val="16"/>
        </w:rPr>
      </w:pPr>
      <w:r w:rsidRPr="00796F7F">
        <w:rPr>
          <w:rStyle w:val="FootnoteReference"/>
          <w:sz w:val="16"/>
          <w:szCs w:val="16"/>
        </w:rPr>
        <w:footnoteRef/>
      </w:r>
      <w:r w:rsidRPr="00796F7F">
        <w:rPr>
          <w:sz w:val="16"/>
          <w:szCs w:val="16"/>
        </w:rPr>
        <w:t xml:space="preserve">  </w:t>
      </w:r>
      <w:hyperlink r:id="rId6" w:history="1">
        <w:r w:rsidRPr="00796F7F">
          <w:rPr>
            <w:rStyle w:val="Hyperlink"/>
            <w:sz w:val="16"/>
            <w:szCs w:val="16"/>
          </w:rPr>
          <w:t>https://youtu.be/sAFX5bcWt-8</w:t>
        </w:r>
      </w:hyperlink>
    </w:p>
  </w:footnote>
  <w:footnote w:id="8">
    <w:p w14:paraId="63FAA45F" w14:textId="2A57F2EE" w:rsidR="00D228FA" w:rsidRPr="00796F7F" w:rsidRDefault="00D228FA" w:rsidP="00796F7F">
      <w:pPr>
        <w:pStyle w:val="FootnoteText"/>
        <w:spacing w:after="60" w:line="240" w:lineRule="auto"/>
        <w:jc w:val="left"/>
        <w:rPr>
          <w:sz w:val="16"/>
          <w:szCs w:val="16"/>
        </w:rPr>
      </w:pPr>
      <w:r w:rsidRPr="00796F7F">
        <w:rPr>
          <w:rStyle w:val="FootnoteReference"/>
          <w:sz w:val="16"/>
          <w:szCs w:val="16"/>
        </w:rPr>
        <w:footnoteRef/>
      </w:r>
      <w:r w:rsidRPr="00796F7F">
        <w:rPr>
          <w:sz w:val="16"/>
          <w:szCs w:val="16"/>
        </w:rPr>
        <w:t xml:space="preserve"> </w:t>
      </w:r>
      <w:hyperlink r:id="rId7" w:history="1">
        <w:r w:rsidRPr="00796F7F">
          <w:rPr>
            <w:rStyle w:val="Hyperlink"/>
            <w:sz w:val="16"/>
            <w:szCs w:val="16"/>
          </w:rPr>
          <w:t>Carter v. Canada</w:t>
        </w:r>
      </w:hyperlink>
      <w:r w:rsidRPr="00796F7F">
        <w:rPr>
          <w:sz w:val="16"/>
          <w:szCs w:val="16"/>
        </w:rPr>
        <w:t xml:space="preserve"> (Attorney General) [2015] 1 SCR 331 at paragraph 120.</w:t>
      </w:r>
    </w:p>
  </w:footnote>
  <w:footnote w:id="9">
    <w:p w14:paraId="683748B5" w14:textId="2B59AC74" w:rsidR="00D62786" w:rsidRDefault="00D62786" w:rsidP="00D62786">
      <w:pPr>
        <w:pStyle w:val="FootnoteText"/>
        <w:spacing w:after="60" w:line="240" w:lineRule="auto"/>
        <w:jc w:val="left"/>
      </w:pPr>
      <w:r>
        <w:rPr>
          <w:rStyle w:val="FootnoteReference"/>
        </w:rPr>
        <w:footnoteRef/>
      </w:r>
      <w:r>
        <w:t xml:space="preserve"> </w:t>
      </w:r>
      <w:r w:rsidRPr="00D62786">
        <w:rPr>
          <w:sz w:val="16"/>
          <w:szCs w:val="16"/>
        </w:rPr>
        <w:t>I use the term here ironically, in the sense of a deliberate disadvantaging by introducing additional hoops to be jumped through.</w:t>
      </w:r>
    </w:p>
  </w:footnote>
  <w:footnote w:id="10">
    <w:p w14:paraId="4F625188" w14:textId="680D6867" w:rsidR="006F4C81" w:rsidRDefault="006F4C81" w:rsidP="00796F7F">
      <w:pPr>
        <w:pStyle w:val="FootnoteText"/>
        <w:spacing w:after="60" w:line="240" w:lineRule="auto"/>
        <w:jc w:val="left"/>
      </w:pPr>
      <w:r w:rsidRPr="00796F7F">
        <w:rPr>
          <w:rStyle w:val="FootnoteReference"/>
          <w:sz w:val="16"/>
          <w:szCs w:val="16"/>
        </w:rPr>
        <w:footnoteRef/>
      </w:r>
      <w:r w:rsidRPr="00796F7F">
        <w:rPr>
          <w:sz w:val="16"/>
          <w:szCs w:val="16"/>
        </w:rPr>
        <w:t xml:space="preserve"> ibid., at paragraph 112.</w:t>
      </w:r>
    </w:p>
  </w:footnote>
  <w:footnote w:id="11">
    <w:p w14:paraId="727C9E7D" w14:textId="15A458CE" w:rsidR="0082548E" w:rsidRPr="001D02C1" w:rsidRDefault="0082548E" w:rsidP="001D02C1">
      <w:pPr>
        <w:pStyle w:val="FootnoteText"/>
        <w:spacing w:after="60" w:line="240" w:lineRule="auto"/>
        <w:jc w:val="left"/>
        <w:rPr>
          <w:sz w:val="16"/>
          <w:szCs w:val="16"/>
        </w:rPr>
      </w:pPr>
      <w:r>
        <w:rPr>
          <w:rStyle w:val="FootnoteReference"/>
        </w:rPr>
        <w:footnoteRef/>
      </w:r>
      <w:r>
        <w:t xml:space="preserve"> </w:t>
      </w:r>
      <w:r w:rsidRPr="001D02C1">
        <w:rPr>
          <w:sz w:val="16"/>
          <w:szCs w:val="16"/>
        </w:rPr>
        <w:t>For an example of this practice, see Frazee, C., "</w:t>
      </w:r>
      <w:hyperlink r:id="rId8" w:history="1">
        <w:r w:rsidRPr="001D02C1">
          <w:rPr>
            <w:rStyle w:val="Hyperlink"/>
            <w:sz w:val="16"/>
            <w:szCs w:val="16"/>
          </w:rPr>
          <w:t>Assisted Dying and the Lessons of History</w:t>
        </w:r>
      </w:hyperlink>
      <w:r w:rsidRPr="001D02C1">
        <w:rPr>
          <w:sz w:val="16"/>
          <w:szCs w:val="16"/>
        </w:rPr>
        <w:t>". Policy Options, June 6, 2017</w:t>
      </w:r>
    </w:p>
  </w:footnote>
  <w:footnote w:id="12">
    <w:p w14:paraId="6EEA1617" w14:textId="5052BDF8" w:rsidR="0082548E" w:rsidRPr="001D02C1" w:rsidRDefault="0082548E" w:rsidP="001D02C1">
      <w:pPr>
        <w:pStyle w:val="FootnoteText"/>
        <w:spacing w:after="60" w:line="240" w:lineRule="auto"/>
        <w:jc w:val="left"/>
        <w:rPr>
          <w:sz w:val="16"/>
          <w:szCs w:val="16"/>
        </w:rPr>
      </w:pPr>
      <w:r w:rsidRPr="001D02C1">
        <w:rPr>
          <w:rStyle w:val="FootnoteReference"/>
          <w:sz w:val="16"/>
          <w:szCs w:val="16"/>
        </w:rPr>
        <w:footnoteRef/>
      </w:r>
      <w:r w:rsidRPr="001D02C1">
        <w:rPr>
          <w:sz w:val="16"/>
          <w:szCs w:val="16"/>
        </w:rPr>
        <w:t xml:space="preserve"> </w:t>
      </w:r>
      <w:r w:rsidR="00DA16C2" w:rsidRPr="001D02C1">
        <w:rPr>
          <w:sz w:val="16"/>
          <w:szCs w:val="16"/>
        </w:rPr>
        <w:t>Trachtenberg, A. and Manns, B., "</w:t>
      </w:r>
      <w:hyperlink r:id="rId9" w:history="1">
        <w:r w:rsidRPr="001D02C1">
          <w:rPr>
            <w:rStyle w:val="Hyperlink"/>
            <w:sz w:val="16"/>
            <w:szCs w:val="16"/>
          </w:rPr>
          <w:t>Cost analysis of medical assistance in dying in Canada</w:t>
        </w:r>
      </w:hyperlink>
      <w:r w:rsidR="00DA16C2" w:rsidRPr="001D02C1">
        <w:rPr>
          <w:sz w:val="16"/>
          <w:szCs w:val="16"/>
        </w:rPr>
        <w:t xml:space="preserve">". </w:t>
      </w:r>
      <w:r w:rsidRPr="001D02C1">
        <w:rPr>
          <w:sz w:val="16"/>
          <w:szCs w:val="16"/>
        </w:rPr>
        <w:t>CMAJ January 23, 2017 189</w:t>
      </w:r>
      <w:r w:rsidR="001D02C1" w:rsidRPr="001D02C1">
        <w:rPr>
          <w:sz w:val="16"/>
          <w:szCs w:val="16"/>
        </w:rPr>
        <w:t>.</w:t>
      </w:r>
    </w:p>
  </w:footnote>
  <w:footnote w:id="13">
    <w:p w14:paraId="140501B7" w14:textId="08B4F8DC" w:rsidR="001D02C1" w:rsidRDefault="001D02C1" w:rsidP="001D02C1">
      <w:pPr>
        <w:pStyle w:val="FootnoteText"/>
        <w:spacing w:after="60" w:line="240" w:lineRule="auto"/>
        <w:jc w:val="left"/>
      </w:pPr>
      <w:r w:rsidRPr="001D02C1">
        <w:rPr>
          <w:rStyle w:val="FootnoteReference"/>
          <w:sz w:val="16"/>
          <w:szCs w:val="16"/>
        </w:rPr>
        <w:footnoteRef/>
      </w:r>
      <w:r w:rsidRPr="001D02C1">
        <w:rPr>
          <w:sz w:val="16"/>
          <w:szCs w:val="16"/>
        </w:rPr>
        <w:t xml:space="preserve"> Health Canada, "</w:t>
      </w:r>
      <w:hyperlink r:id="rId10" w:anchor="3_1" w:history="1">
        <w:r w:rsidRPr="001D02C1">
          <w:rPr>
            <w:rStyle w:val="Hyperlink"/>
            <w:sz w:val="16"/>
            <w:szCs w:val="16"/>
          </w:rPr>
          <w:t>Second Annual Report on Medical Assistance in Dying in Canada 2020</w:t>
        </w:r>
      </w:hyperlink>
      <w:r w:rsidRPr="001D02C1">
        <w:rPr>
          <w:sz w:val="16"/>
          <w:szCs w:val="16"/>
        </w:rPr>
        <w:t>". June 2021</w:t>
      </w:r>
    </w:p>
  </w:footnote>
  <w:footnote w:id="14">
    <w:p w14:paraId="634DB584" w14:textId="221FB6A5" w:rsidR="006A3BC4" w:rsidRDefault="006A3BC4" w:rsidP="00DB5F38">
      <w:pPr>
        <w:pStyle w:val="FootnoteText"/>
        <w:spacing w:after="60" w:line="240" w:lineRule="auto"/>
        <w:jc w:val="left"/>
      </w:pPr>
      <w:r>
        <w:rPr>
          <w:rStyle w:val="FootnoteReference"/>
        </w:rPr>
        <w:footnoteRef/>
      </w:r>
      <w:r>
        <w:t xml:space="preserve"> </w:t>
      </w:r>
      <w:r w:rsidR="00DB5F38" w:rsidRPr="00DB5F38">
        <w:rPr>
          <w:sz w:val="16"/>
          <w:szCs w:val="16"/>
        </w:rPr>
        <w:t xml:space="preserve">My figurative characterization of Disabled Country is inspired by the poetic work of the same name, composed and performed by Neil Marcus. See </w:t>
      </w:r>
      <w:hyperlink r:id="rId11" w:history="1">
        <w:r w:rsidR="0080120E" w:rsidRPr="005522AA">
          <w:rPr>
            <w:rStyle w:val="Hyperlink"/>
            <w:noProof/>
            <w:sz w:val="14"/>
            <w:szCs w:val="16"/>
          </w:rPr>
          <w:t>https://everybody.si.edu/place</w:t>
        </w:r>
      </w:hyperlink>
      <w:r w:rsidR="0080120E">
        <w:rPr>
          <w:noProof/>
          <w:sz w:val="14"/>
          <w:szCs w:val="16"/>
        </w:rPr>
        <w:t xml:space="preserve"> </w:t>
      </w:r>
      <w:r w:rsidR="00DB5F38" w:rsidRPr="00DB5F38">
        <w:rPr>
          <w:noProof/>
          <w:sz w:val="14"/>
          <w:szCs w:val="16"/>
        </w:rPr>
        <w:t xml:space="preserve"> </w:t>
      </w:r>
    </w:p>
  </w:footnote>
  <w:footnote w:id="15">
    <w:p w14:paraId="03C99B1E" w14:textId="658DE3AA" w:rsidR="002A3EB4" w:rsidRDefault="002A3EB4" w:rsidP="00223C05">
      <w:pPr>
        <w:pStyle w:val="FootnoteText"/>
        <w:spacing w:after="60" w:line="240" w:lineRule="auto"/>
        <w:jc w:val="left"/>
      </w:pPr>
      <w:r>
        <w:rPr>
          <w:rStyle w:val="FootnoteReference"/>
        </w:rPr>
        <w:footnoteRef/>
      </w:r>
      <w:r>
        <w:t xml:space="preserve"> </w:t>
      </w:r>
      <w:r w:rsidRPr="002A3EB4">
        <w:rPr>
          <w:sz w:val="16"/>
          <w:szCs w:val="16"/>
        </w:rPr>
        <w:t xml:space="preserve">Testimony of Gabrielle Peters before the Standing Senate Committee on Legal and Constitutional Affairs, as delivered by Spring Hawes. February 3, 2021. Transcript at </w:t>
      </w:r>
      <w:hyperlink r:id="rId12" w:history="1">
        <w:r w:rsidR="0080120E" w:rsidRPr="005522AA">
          <w:rPr>
            <w:rStyle w:val="Hyperlink"/>
            <w:sz w:val="16"/>
            <w:szCs w:val="16"/>
          </w:rPr>
          <w:t>https://sencanada.ca/en/Content/Sen/Committee/432/LCJC/55130-e</w:t>
        </w:r>
      </w:hyperlink>
      <w:r w:rsidR="0080120E">
        <w:rPr>
          <w:sz w:val="16"/>
          <w:szCs w:val="16"/>
        </w:rPr>
        <w:t xml:space="preserve"> </w:t>
      </w:r>
      <w:r w:rsidR="00223C05">
        <w:rPr>
          <w:sz w:val="16"/>
          <w:szCs w:val="16"/>
        </w:rPr>
        <w:t xml:space="preserve"> </w:t>
      </w:r>
    </w:p>
  </w:footnote>
  <w:footnote w:id="16">
    <w:p w14:paraId="0827F043" w14:textId="0D24770B" w:rsidR="002A3EB4" w:rsidRDefault="002A3EB4" w:rsidP="002A3EB4">
      <w:pPr>
        <w:pStyle w:val="FootnoteText"/>
        <w:spacing w:after="60" w:line="240" w:lineRule="auto"/>
        <w:jc w:val="left"/>
      </w:pPr>
      <w:r>
        <w:rPr>
          <w:rStyle w:val="FootnoteReference"/>
        </w:rPr>
        <w:footnoteRef/>
      </w:r>
      <w:r>
        <w:t xml:space="preserve"> </w:t>
      </w:r>
      <w:r w:rsidRPr="002A3EB4">
        <w:rPr>
          <w:sz w:val="16"/>
          <w:szCs w:val="16"/>
        </w:rPr>
        <w:t xml:space="preserve">Testimony of Sarah Jama before the Standing Senate Committee on Legal and Constitutional Affairs. February 1, 2021. Transcript at </w:t>
      </w:r>
      <w:hyperlink r:id="rId13" w:history="1">
        <w:r w:rsidRPr="002A3EB4">
          <w:rPr>
            <w:rStyle w:val="Hyperlink"/>
            <w:sz w:val="16"/>
            <w:szCs w:val="16"/>
          </w:rPr>
          <w:t>https://www.sencanada.ca/en/Content/Sen/Committee/432/LCJC/10ev-55128-e</w:t>
        </w:r>
      </w:hyperlink>
    </w:p>
  </w:footnote>
  <w:footnote w:id="17">
    <w:p w14:paraId="17AA1B03" w14:textId="3625E925" w:rsidR="002A3EB4" w:rsidRDefault="002A3EB4" w:rsidP="00223C05">
      <w:pPr>
        <w:pStyle w:val="FootnoteText"/>
        <w:spacing w:after="60" w:line="240" w:lineRule="auto"/>
        <w:jc w:val="left"/>
      </w:pPr>
      <w:r>
        <w:rPr>
          <w:rStyle w:val="FootnoteReference"/>
        </w:rPr>
        <w:footnoteRef/>
      </w:r>
      <w:r>
        <w:t xml:space="preserve"> </w:t>
      </w:r>
      <w:r w:rsidRPr="00223C05">
        <w:rPr>
          <w:sz w:val="16"/>
          <w:szCs w:val="16"/>
        </w:rPr>
        <w:t xml:space="preserve">Testimony of Heidi Janz before the Standing Senate Committee on Legal and Constitutional Affairs. February 1, 2021. Transcript at </w:t>
      </w:r>
      <w:hyperlink r:id="rId14" w:history="1">
        <w:r w:rsidRPr="00223C05">
          <w:rPr>
            <w:rStyle w:val="Hyperlink"/>
            <w:sz w:val="16"/>
            <w:szCs w:val="16"/>
          </w:rPr>
          <w:t>https://www.sencanada.ca/en/Content/Sen/Committee/432/LCJC/10ev-55128-e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3042" w14:textId="77777777" w:rsidR="00600F4B" w:rsidRDefault="0060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E448" w14:textId="77777777" w:rsidR="00600F4B" w:rsidRDefault="00600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FDE7" w14:textId="77777777" w:rsidR="00600F4B" w:rsidRDefault="0060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A32"/>
    <w:multiLevelType w:val="hybridMultilevel"/>
    <w:tmpl w:val="3B00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271B6"/>
    <w:multiLevelType w:val="hybridMultilevel"/>
    <w:tmpl w:val="68D89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87D5F"/>
    <w:multiLevelType w:val="hybridMultilevel"/>
    <w:tmpl w:val="B4A0FA38"/>
    <w:numStyleLink w:val="ImportedStyle2"/>
  </w:abstractNum>
  <w:abstractNum w:abstractNumId="3" w15:restartNumberingAfterBreak="0">
    <w:nsid w:val="18896F97"/>
    <w:multiLevelType w:val="hybridMultilevel"/>
    <w:tmpl w:val="9014DF86"/>
    <w:styleLink w:val="ImportedStyle1"/>
    <w:lvl w:ilvl="0" w:tplc="9E8008D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FC9F8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8594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CE039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D0A4F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A3A91E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908FE1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287AD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38BD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BC9015C"/>
    <w:multiLevelType w:val="hybridMultilevel"/>
    <w:tmpl w:val="B4A0FA38"/>
    <w:styleLink w:val="ImportedStyle2"/>
    <w:lvl w:ilvl="0" w:tplc="C000623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BAF81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D46ACFE">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6044D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1086F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F4C74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C2D6FA">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BE20D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6C4CD9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70D1F05"/>
    <w:multiLevelType w:val="hybridMultilevel"/>
    <w:tmpl w:val="E3C24264"/>
    <w:lvl w:ilvl="0" w:tplc="10090001">
      <w:start w:val="1"/>
      <w:numFmt w:val="bullet"/>
      <w:lvlText w:val=""/>
      <w:lvlJc w:val="left"/>
      <w:pPr>
        <w:ind w:left="720" w:hanging="360"/>
      </w:pPr>
      <w:rPr>
        <w:rFonts w:ascii="Symbol" w:hAnsi="Symbol" w:hint="default"/>
      </w:rPr>
    </w:lvl>
    <w:lvl w:ilvl="1" w:tplc="89E6BB24">
      <w:numFmt w:val="bullet"/>
      <w:lvlText w:val="•"/>
      <w:lvlJc w:val="left"/>
      <w:pPr>
        <w:ind w:left="1440" w:hanging="360"/>
      </w:pPr>
      <w:rPr>
        <w:rFonts w:ascii="Verdana" w:eastAsia="Calibri" w:hAnsi="Verdan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A30841"/>
    <w:multiLevelType w:val="hybridMultilevel"/>
    <w:tmpl w:val="A21A3F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553691"/>
    <w:multiLevelType w:val="hybridMultilevel"/>
    <w:tmpl w:val="416C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C05A60"/>
    <w:multiLevelType w:val="hybridMultilevel"/>
    <w:tmpl w:val="56B2588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1A05DE"/>
    <w:multiLevelType w:val="hybridMultilevel"/>
    <w:tmpl w:val="9014DF86"/>
    <w:numStyleLink w:val="ImportedStyle1"/>
  </w:abstractNum>
  <w:abstractNum w:abstractNumId="10" w15:restartNumberingAfterBreak="0">
    <w:nsid w:val="6BA01EAA"/>
    <w:multiLevelType w:val="hybridMultilevel"/>
    <w:tmpl w:val="1FA66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5"/>
  </w:num>
  <w:num w:numId="6">
    <w:abstractNumId w:val="3"/>
  </w:num>
  <w:num w:numId="7">
    <w:abstractNumId w:val="9"/>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DF98AD-3334-42DF-B72C-5BAA57A3B022}"/>
    <w:docVar w:name="dgnword-eventsink" w:val="2331778435936"/>
    <w:docVar w:name="EN.InstantFormat" w:val="&lt;ENInstantFormat&gt;&lt;Enabled&gt;1&lt;/Enabled&gt;&lt;ScanUnformatted&gt;1&lt;/ScanUnformatted&gt;&lt;ScanChanges&gt;1&lt;/ScanChanges&gt;&lt;/ENInstantFormat&gt;"/>
    <w:docVar w:name="EN.Layout" w:val="&lt;ENLayout&gt;&lt;Style&gt;Chicago 16th Footnote Modified&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zfdp9phd2wsaetxfz595vx9vfa9fesed0d&quot;&gt;Catherine&amp;apos;s Library&lt;record-ids&gt;&lt;item&gt;1341&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1&lt;/item&gt;&lt;item&gt;1362&lt;/item&gt;&lt;item&gt;1363&lt;/item&gt;&lt;item&gt;1364&lt;/item&gt;&lt;item&gt;1365&lt;/item&gt;&lt;item&gt;1366&lt;/item&gt;&lt;item&gt;1367&lt;/item&gt;&lt;item&gt;1368&lt;/item&gt;&lt;item&gt;1371&lt;/item&gt;&lt;item&gt;1372&lt;/item&gt;&lt;item&gt;1373&lt;/item&gt;&lt;item&gt;1374&lt;/item&gt;&lt;item&gt;1375&lt;/item&gt;&lt;item&gt;1376&lt;/item&gt;&lt;item&gt;1377&lt;/item&gt;&lt;item&gt;1378&lt;/item&gt;&lt;item&gt;1379&lt;/item&gt;&lt;item&gt;1381&lt;/item&gt;&lt;item&gt;1382&lt;/item&gt;&lt;item&gt;1383&lt;/item&gt;&lt;item&gt;1384&lt;/item&gt;&lt;item&gt;1387&lt;/item&gt;&lt;item&gt;1388&lt;/item&gt;&lt;item&gt;1389&lt;/item&gt;&lt;item&gt;1390&lt;/item&gt;&lt;item&gt;1391&lt;/item&gt;&lt;item&gt;1392&lt;/item&gt;&lt;item&gt;1393&lt;/item&gt;&lt;item&gt;1394&lt;/item&gt;&lt;item&gt;1395&lt;/item&gt;&lt;item&gt;1396&lt;/item&gt;&lt;item&gt;1397&lt;/item&gt;&lt;item&gt;1398&lt;/item&gt;&lt;item&gt;1399&lt;/item&gt;&lt;item&gt;1401&lt;/item&gt;&lt;item&gt;1402&lt;/item&gt;&lt;item&gt;1403&lt;/item&gt;&lt;item&gt;1405&lt;/item&gt;&lt;item&gt;1406&lt;/item&gt;&lt;item&gt;1411&lt;/item&gt;&lt;/record-ids&gt;&lt;/item&gt;&lt;/Libraries&gt;"/>
  </w:docVars>
  <w:rsids>
    <w:rsidRoot w:val="00C815F7"/>
    <w:rsid w:val="00000112"/>
    <w:rsid w:val="000157FA"/>
    <w:rsid w:val="000259F1"/>
    <w:rsid w:val="00027DEC"/>
    <w:rsid w:val="00027EA8"/>
    <w:rsid w:val="0003679F"/>
    <w:rsid w:val="00046FA7"/>
    <w:rsid w:val="000548E4"/>
    <w:rsid w:val="00060F5D"/>
    <w:rsid w:val="000617AA"/>
    <w:rsid w:val="00084AAD"/>
    <w:rsid w:val="00085F66"/>
    <w:rsid w:val="0009054B"/>
    <w:rsid w:val="0009313A"/>
    <w:rsid w:val="00095068"/>
    <w:rsid w:val="000A4560"/>
    <w:rsid w:val="000A48D8"/>
    <w:rsid w:val="000B0D8B"/>
    <w:rsid w:val="000B4771"/>
    <w:rsid w:val="000C2B04"/>
    <w:rsid w:val="000C5F88"/>
    <w:rsid w:val="000E0F98"/>
    <w:rsid w:val="000E1A05"/>
    <w:rsid w:val="000E3166"/>
    <w:rsid w:val="000E415C"/>
    <w:rsid w:val="000E46E2"/>
    <w:rsid w:val="000E7641"/>
    <w:rsid w:val="000F446B"/>
    <w:rsid w:val="00113F03"/>
    <w:rsid w:val="00123D15"/>
    <w:rsid w:val="00141EAE"/>
    <w:rsid w:val="00142096"/>
    <w:rsid w:val="00142289"/>
    <w:rsid w:val="00152EC6"/>
    <w:rsid w:val="00155360"/>
    <w:rsid w:val="00162B23"/>
    <w:rsid w:val="001725BB"/>
    <w:rsid w:val="001765ED"/>
    <w:rsid w:val="00177892"/>
    <w:rsid w:val="001803CD"/>
    <w:rsid w:val="001815D7"/>
    <w:rsid w:val="00181BD3"/>
    <w:rsid w:val="001A5241"/>
    <w:rsid w:val="001A6E74"/>
    <w:rsid w:val="001B1D32"/>
    <w:rsid w:val="001B5A47"/>
    <w:rsid w:val="001C1FE7"/>
    <w:rsid w:val="001D02C1"/>
    <w:rsid w:val="001E1F43"/>
    <w:rsid w:val="001E3336"/>
    <w:rsid w:val="001E3922"/>
    <w:rsid w:val="001E6061"/>
    <w:rsid w:val="001E7F1B"/>
    <w:rsid w:val="001F6AC9"/>
    <w:rsid w:val="00200C6B"/>
    <w:rsid w:val="002046EB"/>
    <w:rsid w:val="00213CCF"/>
    <w:rsid w:val="002157C9"/>
    <w:rsid w:val="00223B3D"/>
    <w:rsid w:val="00223C05"/>
    <w:rsid w:val="00240ECF"/>
    <w:rsid w:val="002448F1"/>
    <w:rsid w:val="002531EF"/>
    <w:rsid w:val="002617D1"/>
    <w:rsid w:val="00277233"/>
    <w:rsid w:val="00281C0B"/>
    <w:rsid w:val="00291CC7"/>
    <w:rsid w:val="0029439B"/>
    <w:rsid w:val="002A3EB4"/>
    <w:rsid w:val="002A7ADA"/>
    <w:rsid w:val="002A7E6A"/>
    <w:rsid w:val="002B0AD1"/>
    <w:rsid w:val="002B1386"/>
    <w:rsid w:val="002B62AA"/>
    <w:rsid w:val="002C0CFA"/>
    <w:rsid w:val="002C2B5D"/>
    <w:rsid w:val="002E593E"/>
    <w:rsid w:val="00300DD3"/>
    <w:rsid w:val="003126DA"/>
    <w:rsid w:val="00312ADE"/>
    <w:rsid w:val="0032207D"/>
    <w:rsid w:val="003345E9"/>
    <w:rsid w:val="003453F7"/>
    <w:rsid w:val="00352A91"/>
    <w:rsid w:val="003530E1"/>
    <w:rsid w:val="003552B5"/>
    <w:rsid w:val="003634A6"/>
    <w:rsid w:val="003634B8"/>
    <w:rsid w:val="00364203"/>
    <w:rsid w:val="00364EF0"/>
    <w:rsid w:val="003734ED"/>
    <w:rsid w:val="00385825"/>
    <w:rsid w:val="0039419A"/>
    <w:rsid w:val="003B65A3"/>
    <w:rsid w:val="003C1F4F"/>
    <w:rsid w:val="003C6D38"/>
    <w:rsid w:val="003C734C"/>
    <w:rsid w:val="003E58BC"/>
    <w:rsid w:val="003F3CBA"/>
    <w:rsid w:val="00414C4F"/>
    <w:rsid w:val="00437FF7"/>
    <w:rsid w:val="004533D1"/>
    <w:rsid w:val="0045353A"/>
    <w:rsid w:val="00456E17"/>
    <w:rsid w:val="0046220B"/>
    <w:rsid w:val="00463B06"/>
    <w:rsid w:val="00471B1A"/>
    <w:rsid w:val="00473D02"/>
    <w:rsid w:val="004771D0"/>
    <w:rsid w:val="00494C2F"/>
    <w:rsid w:val="00497AD1"/>
    <w:rsid w:val="004B67BB"/>
    <w:rsid w:val="004B7D87"/>
    <w:rsid w:val="004C760A"/>
    <w:rsid w:val="004D72BE"/>
    <w:rsid w:val="004E4296"/>
    <w:rsid w:val="004F2B01"/>
    <w:rsid w:val="00503C63"/>
    <w:rsid w:val="005119E9"/>
    <w:rsid w:val="00515DEC"/>
    <w:rsid w:val="005266B4"/>
    <w:rsid w:val="005431DB"/>
    <w:rsid w:val="00550F91"/>
    <w:rsid w:val="005616E1"/>
    <w:rsid w:val="00573C14"/>
    <w:rsid w:val="005761FC"/>
    <w:rsid w:val="00583B0F"/>
    <w:rsid w:val="00584BCA"/>
    <w:rsid w:val="00586ACA"/>
    <w:rsid w:val="00586E65"/>
    <w:rsid w:val="00590398"/>
    <w:rsid w:val="00594616"/>
    <w:rsid w:val="005A6DC4"/>
    <w:rsid w:val="005C57CF"/>
    <w:rsid w:val="005C7604"/>
    <w:rsid w:val="005D5A5E"/>
    <w:rsid w:val="005E5ED1"/>
    <w:rsid w:val="00600F4B"/>
    <w:rsid w:val="006056AF"/>
    <w:rsid w:val="00620C4B"/>
    <w:rsid w:val="0063060D"/>
    <w:rsid w:val="00641958"/>
    <w:rsid w:val="00677D57"/>
    <w:rsid w:val="00691376"/>
    <w:rsid w:val="006A3BC4"/>
    <w:rsid w:val="006B0BC1"/>
    <w:rsid w:val="006B2A5F"/>
    <w:rsid w:val="006B7755"/>
    <w:rsid w:val="006C05F1"/>
    <w:rsid w:val="006C0FF4"/>
    <w:rsid w:val="006C5B03"/>
    <w:rsid w:val="006D2C4D"/>
    <w:rsid w:val="006D3D31"/>
    <w:rsid w:val="006E20D8"/>
    <w:rsid w:val="006E348B"/>
    <w:rsid w:val="006E63B2"/>
    <w:rsid w:val="006F0126"/>
    <w:rsid w:val="006F4C81"/>
    <w:rsid w:val="00702F81"/>
    <w:rsid w:val="00705472"/>
    <w:rsid w:val="0071253E"/>
    <w:rsid w:val="00717A76"/>
    <w:rsid w:val="007263B4"/>
    <w:rsid w:val="007329C5"/>
    <w:rsid w:val="007354EF"/>
    <w:rsid w:val="007408D7"/>
    <w:rsid w:val="00751353"/>
    <w:rsid w:val="007517F1"/>
    <w:rsid w:val="00757711"/>
    <w:rsid w:val="007602AB"/>
    <w:rsid w:val="00777EA9"/>
    <w:rsid w:val="007908D0"/>
    <w:rsid w:val="00796F7F"/>
    <w:rsid w:val="007B412C"/>
    <w:rsid w:val="007C7627"/>
    <w:rsid w:val="007C7B45"/>
    <w:rsid w:val="007E55BD"/>
    <w:rsid w:val="007F15DE"/>
    <w:rsid w:val="0080120E"/>
    <w:rsid w:val="00806378"/>
    <w:rsid w:val="008109DC"/>
    <w:rsid w:val="008126F6"/>
    <w:rsid w:val="00814F8E"/>
    <w:rsid w:val="00821807"/>
    <w:rsid w:val="0082548E"/>
    <w:rsid w:val="00826245"/>
    <w:rsid w:val="008517AC"/>
    <w:rsid w:val="0087467E"/>
    <w:rsid w:val="00876727"/>
    <w:rsid w:val="008846B1"/>
    <w:rsid w:val="00887CF8"/>
    <w:rsid w:val="00891F2C"/>
    <w:rsid w:val="00893113"/>
    <w:rsid w:val="008955C0"/>
    <w:rsid w:val="00897CF6"/>
    <w:rsid w:val="008A1FC5"/>
    <w:rsid w:val="008A77E5"/>
    <w:rsid w:val="008C75D1"/>
    <w:rsid w:val="008D1AE0"/>
    <w:rsid w:val="008D610E"/>
    <w:rsid w:val="008D67C1"/>
    <w:rsid w:val="008E169B"/>
    <w:rsid w:val="008F481A"/>
    <w:rsid w:val="00907469"/>
    <w:rsid w:val="00926E1B"/>
    <w:rsid w:val="00932F76"/>
    <w:rsid w:val="00947239"/>
    <w:rsid w:val="00954B7D"/>
    <w:rsid w:val="009665F8"/>
    <w:rsid w:val="0097512E"/>
    <w:rsid w:val="00982C91"/>
    <w:rsid w:val="00983037"/>
    <w:rsid w:val="009879AF"/>
    <w:rsid w:val="00993703"/>
    <w:rsid w:val="00993E6D"/>
    <w:rsid w:val="009B1630"/>
    <w:rsid w:val="009C218A"/>
    <w:rsid w:val="009E44E4"/>
    <w:rsid w:val="009E6EB5"/>
    <w:rsid w:val="009F7C20"/>
    <w:rsid w:val="00A15958"/>
    <w:rsid w:val="00A15C96"/>
    <w:rsid w:val="00A2554D"/>
    <w:rsid w:val="00A33052"/>
    <w:rsid w:val="00A41C27"/>
    <w:rsid w:val="00A42000"/>
    <w:rsid w:val="00A60F6A"/>
    <w:rsid w:val="00A629CD"/>
    <w:rsid w:val="00A645A1"/>
    <w:rsid w:val="00A730E2"/>
    <w:rsid w:val="00A7500B"/>
    <w:rsid w:val="00A7742C"/>
    <w:rsid w:val="00A81389"/>
    <w:rsid w:val="00A84C9C"/>
    <w:rsid w:val="00A85D48"/>
    <w:rsid w:val="00A8780A"/>
    <w:rsid w:val="00AA0F20"/>
    <w:rsid w:val="00AB5D62"/>
    <w:rsid w:val="00AC20CA"/>
    <w:rsid w:val="00AD2D7C"/>
    <w:rsid w:val="00AD574D"/>
    <w:rsid w:val="00AE21DA"/>
    <w:rsid w:val="00AE3088"/>
    <w:rsid w:val="00AE5E42"/>
    <w:rsid w:val="00AF4AF1"/>
    <w:rsid w:val="00AF67D6"/>
    <w:rsid w:val="00B04970"/>
    <w:rsid w:val="00B06B7E"/>
    <w:rsid w:val="00B12930"/>
    <w:rsid w:val="00B21A40"/>
    <w:rsid w:val="00B23D91"/>
    <w:rsid w:val="00B37905"/>
    <w:rsid w:val="00B46BA6"/>
    <w:rsid w:val="00B50C8C"/>
    <w:rsid w:val="00B50F2E"/>
    <w:rsid w:val="00B67F72"/>
    <w:rsid w:val="00B72C90"/>
    <w:rsid w:val="00B741ED"/>
    <w:rsid w:val="00B80D39"/>
    <w:rsid w:val="00B81B60"/>
    <w:rsid w:val="00B91A18"/>
    <w:rsid w:val="00B92A65"/>
    <w:rsid w:val="00BB0AAB"/>
    <w:rsid w:val="00BC16F6"/>
    <w:rsid w:val="00BE2CE3"/>
    <w:rsid w:val="00BE4A2B"/>
    <w:rsid w:val="00BF0281"/>
    <w:rsid w:val="00BF0D09"/>
    <w:rsid w:val="00C01D09"/>
    <w:rsid w:val="00C234E1"/>
    <w:rsid w:val="00C2548B"/>
    <w:rsid w:val="00C25C79"/>
    <w:rsid w:val="00C26B1F"/>
    <w:rsid w:val="00C3058E"/>
    <w:rsid w:val="00C41377"/>
    <w:rsid w:val="00C53621"/>
    <w:rsid w:val="00C56616"/>
    <w:rsid w:val="00C56CDC"/>
    <w:rsid w:val="00C6122F"/>
    <w:rsid w:val="00C63A45"/>
    <w:rsid w:val="00C71ECE"/>
    <w:rsid w:val="00C777AC"/>
    <w:rsid w:val="00C815F7"/>
    <w:rsid w:val="00C83071"/>
    <w:rsid w:val="00C913DB"/>
    <w:rsid w:val="00C913E0"/>
    <w:rsid w:val="00CD09CA"/>
    <w:rsid w:val="00CE1C65"/>
    <w:rsid w:val="00CE38F2"/>
    <w:rsid w:val="00CE717A"/>
    <w:rsid w:val="00CF1D30"/>
    <w:rsid w:val="00D04B06"/>
    <w:rsid w:val="00D14937"/>
    <w:rsid w:val="00D228FA"/>
    <w:rsid w:val="00D27527"/>
    <w:rsid w:val="00D4183A"/>
    <w:rsid w:val="00D50C60"/>
    <w:rsid w:val="00D56ADE"/>
    <w:rsid w:val="00D57672"/>
    <w:rsid w:val="00D62786"/>
    <w:rsid w:val="00D73188"/>
    <w:rsid w:val="00D746C7"/>
    <w:rsid w:val="00D90C2F"/>
    <w:rsid w:val="00D960CD"/>
    <w:rsid w:val="00DA16C2"/>
    <w:rsid w:val="00DA5D35"/>
    <w:rsid w:val="00DB0A8A"/>
    <w:rsid w:val="00DB5F38"/>
    <w:rsid w:val="00DC56BD"/>
    <w:rsid w:val="00DC748A"/>
    <w:rsid w:val="00DD7716"/>
    <w:rsid w:val="00DE0A87"/>
    <w:rsid w:val="00DE7659"/>
    <w:rsid w:val="00DF4440"/>
    <w:rsid w:val="00DF5581"/>
    <w:rsid w:val="00E023AD"/>
    <w:rsid w:val="00E05981"/>
    <w:rsid w:val="00E123F3"/>
    <w:rsid w:val="00E163BE"/>
    <w:rsid w:val="00E270FF"/>
    <w:rsid w:val="00E30CDF"/>
    <w:rsid w:val="00E37B36"/>
    <w:rsid w:val="00E44232"/>
    <w:rsid w:val="00E45385"/>
    <w:rsid w:val="00E5125F"/>
    <w:rsid w:val="00E55901"/>
    <w:rsid w:val="00E56042"/>
    <w:rsid w:val="00E66EDB"/>
    <w:rsid w:val="00E67111"/>
    <w:rsid w:val="00E736A3"/>
    <w:rsid w:val="00E80E5B"/>
    <w:rsid w:val="00E83170"/>
    <w:rsid w:val="00E845C8"/>
    <w:rsid w:val="00EC51A4"/>
    <w:rsid w:val="00ED5717"/>
    <w:rsid w:val="00EE6668"/>
    <w:rsid w:val="00F05A7F"/>
    <w:rsid w:val="00F10463"/>
    <w:rsid w:val="00F109DA"/>
    <w:rsid w:val="00F1156A"/>
    <w:rsid w:val="00F328D3"/>
    <w:rsid w:val="00F50203"/>
    <w:rsid w:val="00F51E69"/>
    <w:rsid w:val="00F52045"/>
    <w:rsid w:val="00F53898"/>
    <w:rsid w:val="00F55976"/>
    <w:rsid w:val="00F61EE6"/>
    <w:rsid w:val="00F73850"/>
    <w:rsid w:val="00F800C0"/>
    <w:rsid w:val="00F9029B"/>
    <w:rsid w:val="00F94A29"/>
    <w:rsid w:val="00FA2C0D"/>
    <w:rsid w:val="00FB1D58"/>
    <w:rsid w:val="00FB39CB"/>
    <w:rsid w:val="00FD57D4"/>
    <w:rsid w:val="00FE25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8414A"/>
  <w15:docId w15:val="{914C2A8C-8255-4FED-8779-48E4479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F8"/>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B23D9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23D9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23D9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3D9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3D9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B23D9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B23D9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B23D9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B23D9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3D9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3D91"/>
    <w:rPr>
      <w:smallCaps/>
      <w:sz w:val="48"/>
      <w:szCs w:val="48"/>
    </w:rPr>
  </w:style>
  <w:style w:type="character" w:customStyle="1" w:styleId="Heading1Char">
    <w:name w:val="Heading 1 Char"/>
    <w:link w:val="Heading1"/>
    <w:uiPriority w:val="9"/>
    <w:rsid w:val="00B23D91"/>
    <w:rPr>
      <w:smallCaps/>
      <w:spacing w:val="5"/>
      <w:sz w:val="32"/>
      <w:szCs w:val="32"/>
    </w:rPr>
  </w:style>
  <w:style w:type="character" w:customStyle="1" w:styleId="Heading2Char">
    <w:name w:val="Heading 2 Char"/>
    <w:link w:val="Heading2"/>
    <w:uiPriority w:val="9"/>
    <w:rsid w:val="00B23D91"/>
    <w:rPr>
      <w:smallCaps/>
      <w:spacing w:val="5"/>
      <w:sz w:val="28"/>
      <w:szCs w:val="28"/>
    </w:rPr>
  </w:style>
  <w:style w:type="character" w:customStyle="1" w:styleId="Heading3Char">
    <w:name w:val="Heading 3 Char"/>
    <w:link w:val="Heading3"/>
    <w:uiPriority w:val="9"/>
    <w:rsid w:val="00B23D91"/>
    <w:rPr>
      <w:smallCaps/>
      <w:spacing w:val="5"/>
      <w:sz w:val="24"/>
      <w:szCs w:val="24"/>
    </w:rPr>
  </w:style>
  <w:style w:type="character" w:customStyle="1" w:styleId="Heading4Char">
    <w:name w:val="Heading 4 Char"/>
    <w:link w:val="Heading4"/>
    <w:uiPriority w:val="9"/>
    <w:semiHidden/>
    <w:rsid w:val="00B23D91"/>
    <w:rPr>
      <w:smallCaps/>
      <w:spacing w:val="10"/>
      <w:sz w:val="22"/>
      <w:szCs w:val="22"/>
    </w:rPr>
  </w:style>
  <w:style w:type="character" w:customStyle="1" w:styleId="Heading5Char">
    <w:name w:val="Heading 5 Char"/>
    <w:link w:val="Heading5"/>
    <w:uiPriority w:val="9"/>
    <w:semiHidden/>
    <w:rsid w:val="00B23D91"/>
    <w:rPr>
      <w:smallCaps/>
      <w:color w:val="943634"/>
      <w:spacing w:val="10"/>
      <w:sz w:val="22"/>
      <w:szCs w:val="26"/>
    </w:rPr>
  </w:style>
  <w:style w:type="character" w:customStyle="1" w:styleId="Heading6Char">
    <w:name w:val="Heading 6 Char"/>
    <w:link w:val="Heading6"/>
    <w:uiPriority w:val="9"/>
    <w:semiHidden/>
    <w:rsid w:val="00B23D91"/>
    <w:rPr>
      <w:smallCaps/>
      <w:color w:val="C0504D"/>
      <w:spacing w:val="5"/>
      <w:sz w:val="22"/>
    </w:rPr>
  </w:style>
  <w:style w:type="character" w:customStyle="1" w:styleId="Heading7Char">
    <w:name w:val="Heading 7 Char"/>
    <w:link w:val="Heading7"/>
    <w:uiPriority w:val="9"/>
    <w:semiHidden/>
    <w:rsid w:val="00B23D91"/>
    <w:rPr>
      <w:b/>
      <w:smallCaps/>
      <w:color w:val="C0504D"/>
      <w:spacing w:val="10"/>
    </w:rPr>
  </w:style>
  <w:style w:type="character" w:customStyle="1" w:styleId="Heading8Char">
    <w:name w:val="Heading 8 Char"/>
    <w:link w:val="Heading8"/>
    <w:uiPriority w:val="9"/>
    <w:semiHidden/>
    <w:rsid w:val="00B23D91"/>
    <w:rPr>
      <w:b/>
      <w:i/>
      <w:smallCaps/>
      <w:color w:val="943634"/>
    </w:rPr>
  </w:style>
  <w:style w:type="character" w:customStyle="1" w:styleId="Heading9Char">
    <w:name w:val="Heading 9 Char"/>
    <w:link w:val="Heading9"/>
    <w:uiPriority w:val="9"/>
    <w:semiHidden/>
    <w:rsid w:val="00B23D91"/>
    <w:rPr>
      <w:b/>
      <w:i/>
      <w:smallCaps/>
      <w:color w:val="622423"/>
    </w:rPr>
  </w:style>
  <w:style w:type="paragraph" w:styleId="Caption">
    <w:name w:val="caption"/>
    <w:basedOn w:val="Normal"/>
    <w:next w:val="Normal"/>
    <w:uiPriority w:val="35"/>
    <w:semiHidden/>
    <w:unhideWhenUsed/>
    <w:qFormat/>
    <w:rsid w:val="00B23D91"/>
    <w:rPr>
      <w:b/>
      <w:bCs/>
      <w:caps/>
      <w:sz w:val="16"/>
      <w:szCs w:val="18"/>
    </w:rPr>
  </w:style>
  <w:style w:type="paragraph" w:styleId="Subtitle">
    <w:name w:val="Subtitle"/>
    <w:basedOn w:val="Normal"/>
    <w:next w:val="Normal"/>
    <w:link w:val="SubtitleChar"/>
    <w:uiPriority w:val="11"/>
    <w:qFormat/>
    <w:rsid w:val="00B23D91"/>
    <w:pPr>
      <w:spacing w:after="720" w:line="240" w:lineRule="auto"/>
      <w:jc w:val="right"/>
    </w:pPr>
    <w:rPr>
      <w:rFonts w:ascii="Cambria" w:hAnsi="Cambria"/>
      <w:szCs w:val="22"/>
    </w:rPr>
  </w:style>
  <w:style w:type="character" w:customStyle="1" w:styleId="SubtitleChar">
    <w:name w:val="Subtitle Char"/>
    <w:link w:val="Subtitle"/>
    <w:uiPriority w:val="11"/>
    <w:rsid w:val="00B23D91"/>
    <w:rPr>
      <w:rFonts w:ascii="Cambria" w:eastAsia="Times New Roman" w:hAnsi="Cambria" w:cs="Times New Roman"/>
      <w:szCs w:val="22"/>
    </w:rPr>
  </w:style>
  <w:style w:type="character" w:styleId="Strong">
    <w:name w:val="Strong"/>
    <w:uiPriority w:val="22"/>
    <w:qFormat/>
    <w:rsid w:val="00B23D91"/>
    <w:rPr>
      <w:b/>
      <w:color w:val="C0504D"/>
    </w:rPr>
  </w:style>
  <w:style w:type="character" w:styleId="Emphasis">
    <w:name w:val="Emphasis"/>
    <w:uiPriority w:val="20"/>
    <w:qFormat/>
    <w:rsid w:val="00B23D91"/>
    <w:rPr>
      <w:b/>
      <w:i/>
      <w:spacing w:val="10"/>
    </w:rPr>
  </w:style>
  <w:style w:type="paragraph" w:styleId="NoSpacing">
    <w:name w:val="No Spacing"/>
    <w:basedOn w:val="Normal"/>
    <w:link w:val="NoSpacingChar"/>
    <w:uiPriority w:val="1"/>
    <w:qFormat/>
    <w:rsid w:val="00B23D91"/>
    <w:pPr>
      <w:spacing w:after="0" w:line="240" w:lineRule="auto"/>
    </w:pPr>
  </w:style>
  <w:style w:type="character" w:customStyle="1" w:styleId="NoSpacingChar">
    <w:name w:val="No Spacing Char"/>
    <w:basedOn w:val="DefaultParagraphFont"/>
    <w:link w:val="NoSpacing"/>
    <w:uiPriority w:val="1"/>
    <w:rsid w:val="00B23D91"/>
  </w:style>
  <w:style w:type="paragraph" w:styleId="ListParagraph">
    <w:name w:val="List Paragraph"/>
    <w:basedOn w:val="Normal"/>
    <w:uiPriority w:val="34"/>
    <w:qFormat/>
    <w:rsid w:val="00B23D91"/>
    <w:pPr>
      <w:ind w:left="720"/>
      <w:contextualSpacing/>
    </w:pPr>
  </w:style>
  <w:style w:type="paragraph" w:styleId="Quote">
    <w:name w:val="Quote"/>
    <w:basedOn w:val="Normal"/>
    <w:next w:val="Normal"/>
    <w:link w:val="QuoteChar"/>
    <w:uiPriority w:val="29"/>
    <w:qFormat/>
    <w:rsid w:val="00B23D91"/>
    <w:rPr>
      <w:i/>
    </w:rPr>
  </w:style>
  <w:style w:type="character" w:customStyle="1" w:styleId="QuoteChar">
    <w:name w:val="Quote Char"/>
    <w:link w:val="Quote"/>
    <w:uiPriority w:val="29"/>
    <w:rsid w:val="00B23D91"/>
    <w:rPr>
      <w:i/>
    </w:rPr>
  </w:style>
  <w:style w:type="paragraph" w:styleId="IntenseQuote">
    <w:name w:val="Intense Quote"/>
    <w:basedOn w:val="Normal"/>
    <w:next w:val="Normal"/>
    <w:link w:val="IntenseQuoteChar"/>
    <w:uiPriority w:val="30"/>
    <w:qFormat/>
    <w:rsid w:val="00B23D9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B23D91"/>
    <w:rPr>
      <w:b/>
      <w:i/>
      <w:color w:val="FFFFFF"/>
      <w:shd w:val="clear" w:color="auto" w:fill="C0504D"/>
    </w:rPr>
  </w:style>
  <w:style w:type="character" w:styleId="SubtleEmphasis">
    <w:name w:val="Subtle Emphasis"/>
    <w:uiPriority w:val="19"/>
    <w:qFormat/>
    <w:rsid w:val="00B23D91"/>
    <w:rPr>
      <w:i/>
    </w:rPr>
  </w:style>
  <w:style w:type="character" w:styleId="IntenseEmphasis">
    <w:name w:val="Intense Emphasis"/>
    <w:uiPriority w:val="21"/>
    <w:qFormat/>
    <w:rsid w:val="00B23D91"/>
    <w:rPr>
      <w:b/>
      <w:i/>
      <w:color w:val="C0504D"/>
      <w:spacing w:val="10"/>
    </w:rPr>
  </w:style>
  <w:style w:type="character" w:styleId="SubtleReference">
    <w:name w:val="Subtle Reference"/>
    <w:uiPriority w:val="31"/>
    <w:qFormat/>
    <w:rsid w:val="00B23D91"/>
    <w:rPr>
      <w:b/>
    </w:rPr>
  </w:style>
  <w:style w:type="character" w:styleId="IntenseReference">
    <w:name w:val="Intense Reference"/>
    <w:uiPriority w:val="32"/>
    <w:qFormat/>
    <w:rsid w:val="00B23D91"/>
    <w:rPr>
      <w:b/>
      <w:bCs/>
      <w:smallCaps/>
      <w:spacing w:val="5"/>
      <w:sz w:val="22"/>
      <w:szCs w:val="22"/>
      <w:u w:val="single"/>
    </w:rPr>
  </w:style>
  <w:style w:type="character" w:styleId="BookTitle">
    <w:name w:val="Book Title"/>
    <w:uiPriority w:val="33"/>
    <w:qFormat/>
    <w:rsid w:val="00B23D9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23D91"/>
    <w:pPr>
      <w:outlineLvl w:val="9"/>
    </w:pPr>
  </w:style>
  <w:style w:type="paragraph" w:styleId="EndnoteText">
    <w:name w:val="endnote text"/>
    <w:basedOn w:val="Normal"/>
    <w:link w:val="EndnoteTextChar"/>
    <w:uiPriority w:val="99"/>
    <w:unhideWhenUsed/>
    <w:rsid w:val="008846B1"/>
  </w:style>
  <w:style w:type="character" w:customStyle="1" w:styleId="EndnoteTextChar">
    <w:name w:val="Endnote Text Char"/>
    <w:link w:val="EndnoteText"/>
    <w:uiPriority w:val="99"/>
    <w:rsid w:val="008846B1"/>
    <w:rPr>
      <w:lang w:val="en-US" w:eastAsia="en-US" w:bidi="en-US"/>
    </w:rPr>
  </w:style>
  <w:style w:type="character" w:styleId="EndnoteReference">
    <w:name w:val="endnote reference"/>
    <w:uiPriority w:val="99"/>
    <w:semiHidden/>
    <w:unhideWhenUsed/>
    <w:rsid w:val="008846B1"/>
    <w:rPr>
      <w:vertAlign w:val="superscript"/>
    </w:rPr>
  </w:style>
  <w:style w:type="character" w:styleId="Hyperlink">
    <w:name w:val="Hyperlink"/>
    <w:uiPriority w:val="99"/>
    <w:unhideWhenUsed/>
    <w:rsid w:val="001E7F1B"/>
    <w:rPr>
      <w:color w:val="0000FF"/>
      <w:u w:val="single"/>
    </w:rPr>
  </w:style>
  <w:style w:type="paragraph" w:styleId="FootnoteText">
    <w:name w:val="footnote text"/>
    <w:basedOn w:val="Normal"/>
    <w:link w:val="FootnoteTextChar"/>
    <w:uiPriority w:val="99"/>
    <w:unhideWhenUsed/>
    <w:rsid w:val="003E58BC"/>
  </w:style>
  <w:style w:type="character" w:customStyle="1" w:styleId="FootnoteTextChar">
    <w:name w:val="Footnote Text Char"/>
    <w:link w:val="FootnoteText"/>
    <w:uiPriority w:val="99"/>
    <w:rsid w:val="003E58BC"/>
    <w:rPr>
      <w:lang w:val="en-US" w:eastAsia="en-US" w:bidi="en-US"/>
    </w:rPr>
  </w:style>
  <w:style w:type="character" w:styleId="FootnoteReference">
    <w:name w:val="footnote reference"/>
    <w:uiPriority w:val="99"/>
    <w:semiHidden/>
    <w:unhideWhenUsed/>
    <w:rsid w:val="003E58BC"/>
    <w:rPr>
      <w:vertAlign w:val="superscript"/>
    </w:rPr>
  </w:style>
  <w:style w:type="paragraph" w:styleId="BalloonText">
    <w:name w:val="Balloon Text"/>
    <w:basedOn w:val="Normal"/>
    <w:link w:val="BalloonTextChar"/>
    <w:uiPriority w:val="99"/>
    <w:semiHidden/>
    <w:unhideWhenUsed/>
    <w:rsid w:val="00F902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029B"/>
    <w:rPr>
      <w:rFonts w:ascii="Tahoma" w:hAnsi="Tahoma" w:cs="Tahoma"/>
      <w:sz w:val="16"/>
      <w:szCs w:val="16"/>
      <w:lang w:val="en-US" w:eastAsia="en-US" w:bidi="en-US"/>
    </w:rPr>
  </w:style>
  <w:style w:type="paragraph" w:styleId="Header">
    <w:name w:val="header"/>
    <w:basedOn w:val="Normal"/>
    <w:link w:val="HeaderChar"/>
    <w:uiPriority w:val="99"/>
    <w:unhideWhenUsed/>
    <w:rsid w:val="00A85D48"/>
    <w:pPr>
      <w:tabs>
        <w:tab w:val="center" w:pos="4680"/>
        <w:tab w:val="right" w:pos="9360"/>
      </w:tabs>
    </w:pPr>
  </w:style>
  <w:style w:type="character" w:customStyle="1" w:styleId="HeaderChar">
    <w:name w:val="Header Char"/>
    <w:link w:val="Header"/>
    <w:uiPriority w:val="99"/>
    <w:rsid w:val="00A85D48"/>
    <w:rPr>
      <w:lang w:val="en-US" w:eastAsia="en-US" w:bidi="en-US"/>
    </w:rPr>
  </w:style>
  <w:style w:type="paragraph" w:styleId="Footer">
    <w:name w:val="footer"/>
    <w:basedOn w:val="Normal"/>
    <w:link w:val="FooterChar"/>
    <w:uiPriority w:val="99"/>
    <w:unhideWhenUsed/>
    <w:rsid w:val="00A85D48"/>
    <w:pPr>
      <w:tabs>
        <w:tab w:val="center" w:pos="4680"/>
        <w:tab w:val="right" w:pos="9360"/>
      </w:tabs>
    </w:pPr>
  </w:style>
  <w:style w:type="character" w:customStyle="1" w:styleId="FooterChar">
    <w:name w:val="Footer Char"/>
    <w:link w:val="Footer"/>
    <w:uiPriority w:val="99"/>
    <w:rsid w:val="00A85D48"/>
    <w:rPr>
      <w:lang w:val="en-US" w:eastAsia="en-US" w:bidi="en-US"/>
    </w:rPr>
  </w:style>
  <w:style w:type="character" w:styleId="FollowedHyperlink">
    <w:name w:val="FollowedHyperlink"/>
    <w:uiPriority w:val="99"/>
    <w:semiHidden/>
    <w:unhideWhenUsed/>
    <w:rsid w:val="00C01D09"/>
    <w:rPr>
      <w:color w:val="800080"/>
      <w:u w:val="single"/>
    </w:rPr>
  </w:style>
  <w:style w:type="paragraph" w:customStyle="1" w:styleId="Body">
    <w:name w:val="Body"/>
    <w:link w:val="BodyChar"/>
    <w:rsid w:val="00B92A65"/>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numbering" w:customStyle="1" w:styleId="ImportedStyle1">
    <w:name w:val="Imported Style 1"/>
    <w:rsid w:val="00437FF7"/>
    <w:pPr>
      <w:numPr>
        <w:numId w:val="6"/>
      </w:numPr>
    </w:pPr>
  </w:style>
  <w:style w:type="numbering" w:customStyle="1" w:styleId="ImportedStyle2">
    <w:name w:val="Imported Style 2"/>
    <w:rsid w:val="00437FF7"/>
    <w:pPr>
      <w:numPr>
        <w:numId w:val="8"/>
      </w:numPr>
    </w:pPr>
  </w:style>
  <w:style w:type="paragraph" w:customStyle="1" w:styleId="EndNoteBibliographyTitle">
    <w:name w:val="EndNote Bibliography Title"/>
    <w:basedOn w:val="Normal"/>
    <w:link w:val="EndNoteBibliographyTitleChar"/>
    <w:rsid w:val="00C63A45"/>
    <w:pPr>
      <w:spacing w:after="0"/>
      <w:jc w:val="center"/>
    </w:pPr>
    <w:rPr>
      <w:rFonts w:cs="Calibri"/>
      <w:noProof/>
      <w:sz w:val="28"/>
    </w:rPr>
  </w:style>
  <w:style w:type="character" w:customStyle="1" w:styleId="BodyChar">
    <w:name w:val="Body Char"/>
    <w:basedOn w:val="DefaultParagraphFont"/>
    <w:link w:val="Body"/>
    <w:rsid w:val="00C63A45"/>
    <w:rPr>
      <w:rFonts w:eastAsia="Calibri" w:cs="Calibri"/>
      <w:color w:val="000000"/>
      <w:sz w:val="22"/>
      <w:szCs w:val="22"/>
      <w:u w:color="000000"/>
      <w:bdr w:val="nil"/>
      <w:lang w:val="en-US"/>
    </w:rPr>
  </w:style>
  <w:style w:type="character" w:customStyle="1" w:styleId="EndNoteBibliographyTitleChar">
    <w:name w:val="EndNote Bibliography Title Char"/>
    <w:basedOn w:val="BodyChar"/>
    <w:link w:val="EndNoteBibliographyTitle"/>
    <w:rsid w:val="00C63A45"/>
    <w:rPr>
      <w:rFonts w:eastAsia="Calibri" w:cs="Calibri"/>
      <w:noProof/>
      <w:color w:val="000000"/>
      <w:sz w:val="28"/>
      <w:szCs w:val="22"/>
      <w:u w:color="000000"/>
      <w:bdr w:val="nil"/>
      <w:lang w:val="en-US" w:eastAsia="en-US" w:bidi="en-US"/>
    </w:rPr>
  </w:style>
  <w:style w:type="paragraph" w:customStyle="1" w:styleId="EndNoteBibliography">
    <w:name w:val="EndNote Bibliography"/>
    <w:basedOn w:val="Normal"/>
    <w:link w:val="EndNoteBibliographyChar"/>
    <w:rsid w:val="00C63A45"/>
    <w:pPr>
      <w:spacing w:line="240" w:lineRule="auto"/>
      <w:jc w:val="left"/>
    </w:pPr>
    <w:rPr>
      <w:rFonts w:cs="Calibri"/>
      <w:noProof/>
      <w:sz w:val="28"/>
    </w:rPr>
  </w:style>
  <w:style w:type="character" w:customStyle="1" w:styleId="EndNoteBibliographyChar">
    <w:name w:val="EndNote Bibliography Char"/>
    <w:basedOn w:val="BodyChar"/>
    <w:link w:val="EndNoteBibliography"/>
    <w:rsid w:val="00C63A45"/>
    <w:rPr>
      <w:rFonts w:eastAsia="Calibri" w:cs="Calibri"/>
      <w:noProof/>
      <w:color w:val="000000"/>
      <w:sz w:val="28"/>
      <w:szCs w:val="22"/>
      <w:u w:color="000000"/>
      <w:bdr w:val="nil"/>
      <w:lang w:val="en-US" w:eastAsia="en-US" w:bidi="en-US"/>
    </w:rPr>
  </w:style>
  <w:style w:type="character" w:styleId="UnresolvedMention">
    <w:name w:val="Unresolved Mention"/>
    <w:basedOn w:val="DefaultParagraphFont"/>
    <w:uiPriority w:val="99"/>
    <w:semiHidden/>
    <w:unhideWhenUsed/>
    <w:rsid w:val="00D57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8587">
      <w:bodyDiv w:val="1"/>
      <w:marLeft w:val="0"/>
      <w:marRight w:val="0"/>
      <w:marTop w:val="0"/>
      <w:marBottom w:val="0"/>
      <w:divBdr>
        <w:top w:val="none" w:sz="0" w:space="0" w:color="auto"/>
        <w:left w:val="none" w:sz="0" w:space="0" w:color="auto"/>
        <w:bottom w:val="none" w:sz="0" w:space="0" w:color="auto"/>
        <w:right w:val="none" w:sz="0" w:space="0" w:color="auto"/>
      </w:divBdr>
    </w:div>
    <w:div w:id="278268537">
      <w:bodyDiv w:val="1"/>
      <w:marLeft w:val="0"/>
      <w:marRight w:val="0"/>
      <w:marTop w:val="0"/>
      <w:marBottom w:val="0"/>
      <w:divBdr>
        <w:top w:val="none" w:sz="0" w:space="0" w:color="auto"/>
        <w:left w:val="none" w:sz="0" w:space="0" w:color="auto"/>
        <w:bottom w:val="none" w:sz="0" w:space="0" w:color="auto"/>
        <w:right w:val="none" w:sz="0" w:space="0" w:color="auto"/>
      </w:divBdr>
    </w:div>
    <w:div w:id="452984970">
      <w:bodyDiv w:val="1"/>
      <w:marLeft w:val="0"/>
      <w:marRight w:val="0"/>
      <w:marTop w:val="0"/>
      <w:marBottom w:val="0"/>
      <w:divBdr>
        <w:top w:val="none" w:sz="0" w:space="0" w:color="auto"/>
        <w:left w:val="none" w:sz="0" w:space="0" w:color="auto"/>
        <w:bottom w:val="none" w:sz="0" w:space="0" w:color="auto"/>
        <w:right w:val="none" w:sz="0" w:space="0" w:color="auto"/>
      </w:divBdr>
      <w:divsChild>
        <w:div w:id="1250043484">
          <w:marLeft w:val="0"/>
          <w:marRight w:val="0"/>
          <w:marTop w:val="75"/>
          <w:marBottom w:val="0"/>
          <w:divBdr>
            <w:top w:val="none" w:sz="0" w:space="0" w:color="auto"/>
            <w:left w:val="none" w:sz="0" w:space="0" w:color="auto"/>
            <w:bottom w:val="none" w:sz="0" w:space="0" w:color="auto"/>
            <w:right w:val="none" w:sz="0" w:space="0" w:color="auto"/>
          </w:divBdr>
        </w:div>
        <w:div w:id="479658255">
          <w:marLeft w:val="0"/>
          <w:marRight w:val="0"/>
          <w:marTop w:val="75"/>
          <w:marBottom w:val="300"/>
          <w:divBdr>
            <w:top w:val="none" w:sz="0" w:space="0" w:color="auto"/>
            <w:left w:val="none" w:sz="0" w:space="0" w:color="auto"/>
            <w:bottom w:val="none" w:sz="0" w:space="0" w:color="auto"/>
            <w:right w:val="none" w:sz="0" w:space="0" w:color="auto"/>
          </w:divBdr>
        </w:div>
      </w:divsChild>
    </w:div>
    <w:div w:id="482428681">
      <w:bodyDiv w:val="1"/>
      <w:marLeft w:val="0"/>
      <w:marRight w:val="0"/>
      <w:marTop w:val="0"/>
      <w:marBottom w:val="0"/>
      <w:divBdr>
        <w:top w:val="none" w:sz="0" w:space="0" w:color="auto"/>
        <w:left w:val="none" w:sz="0" w:space="0" w:color="auto"/>
        <w:bottom w:val="none" w:sz="0" w:space="0" w:color="auto"/>
        <w:right w:val="none" w:sz="0" w:space="0" w:color="auto"/>
      </w:divBdr>
    </w:div>
    <w:div w:id="539129827">
      <w:bodyDiv w:val="1"/>
      <w:marLeft w:val="0"/>
      <w:marRight w:val="0"/>
      <w:marTop w:val="0"/>
      <w:marBottom w:val="0"/>
      <w:divBdr>
        <w:top w:val="none" w:sz="0" w:space="0" w:color="auto"/>
        <w:left w:val="none" w:sz="0" w:space="0" w:color="auto"/>
        <w:bottom w:val="none" w:sz="0" w:space="0" w:color="auto"/>
        <w:right w:val="none" w:sz="0" w:space="0" w:color="auto"/>
      </w:divBdr>
    </w:div>
    <w:div w:id="630788638">
      <w:bodyDiv w:val="1"/>
      <w:marLeft w:val="0"/>
      <w:marRight w:val="0"/>
      <w:marTop w:val="0"/>
      <w:marBottom w:val="0"/>
      <w:divBdr>
        <w:top w:val="none" w:sz="0" w:space="0" w:color="auto"/>
        <w:left w:val="none" w:sz="0" w:space="0" w:color="auto"/>
        <w:bottom w:val="none" w:sz="0" w:space="0" w:color="auto"/>
        <w:right w:val="none" w:sz="0" w:space="0" w:color="auto"/>
      </w:divBdr>
    </w:div>
    <w:div w:id="733744572">
      <w:bodyDiv w:val="1"/>
      <w:marLeft w:val="0"/>
      <w:marRight w:val="0"/>
      <w:marTop w:val="0"/>
      <w:marBottom w:val="0"/>
      <w:divBdr>
        <w:top w:val="none" w:sz="0" w:space="0" w:color="auto"/>
        <w:left w:val="none" w:sz="0" w:space="0" w:color="auto"/>
        <w:bottom w:val="none" w:sz="0" w:space="0" w:color="auto"/>
        <w:right w:val="none" w:sz="0" w:space="0" w:color="auto"/>
      </w:divBdr>
    </w:div>
    <w:div w:id="958608451">
      <w:bodyDiv w:val="1"/>
      <w:marLeft w:val="0"/>
      <w:marRight w:val="0"/>
      <w:marTop w:val="0"/>
      <w:marBottom w:val="0"/>
      <w:divBdr>
        <w:top w:val="none" w:sz="0" w:space="0" w:color="auto"/>
        <w:left w:val="none" w:sz="0" w:space="0" w:color="auto"/>
        <w:bottom w:val="none" w:sz="0" w:space="0" w:color="auto"/>
        <w:right w:val="none" w:sz="0" w:space="0" w:color="auto"/>
      </w:divBdr>
    </w:div>
    <w:div w:id="985937250">
      <w:bodyDiv w:val="1"/>
      <w:marLeft w:val="0"/>
      <w:marRight w:val="0"/>
      <w:marTop w:val="0"/>
      <w:marBottom w:val="0"/>
      <w:divBdr>
        <w:top w:val="none" w:sz="0" w:space="0" w:color="auto"/>
        <w:left w:val="none" w:sz="0" w:space="0" w:color="auto"/>
        <w:bottom w:val="none" w:sz="0" w:space="0" w:color="auto"/>
        <w:right w:val="none" w:sz="0" w:space="0" w:color="auto"/>
      </w:divBdr>
      <w:divsChild>
        <w:div w:id="75639919">
          <w:marLeft w:val="0"/>
          <w:marRight w:val="0"/>
          <w:marTop w:val="0"/>
          <w:marBottom w:val="0"/>
          <w:divBdr>
            <w:top w:val="none" w:sz="0" w:space="0" w:color="auto"/>
            <w:left w:val="none" w:sz="0" w:space="0" w:color="auto"/>
            <w:bottom w:val="none" w:sz="0" w:space="0" w:color="auto"/>
            <w:right w:val="none" w:sz="0" w:space="0" w:color="auto"/>
          </w:divBdr>
          <w:divsChild>
            <w:div w:id="387076195">
              <w:marLeft w:val="0"/>
              <w:marRight w:val="0"/>
              <w:marTop w:val="0"/>
              <w:marBottom w:val="0"/>
              <w:divBdr>
                <w:top w:val="none" w:sz="0" w:space="0" w:color="auto"/>
                <w:left w:val="none" w:sz="0" w:space="0" w:color="auto"/>
                <w:bottom w:val="none" w:sz="0" w:space="0" w:color="auto"/>
                <w:right w:val="none" w:sz="0" w:space="0" w:color="auto"/>
              </w:divBdr>
              <w:divsChild>
                <w:div w:id="261035167">
                  <w:marLeft w:val="0"/>
                  <w:marRight w:val="0"/>
                  <w:marTop w:val="0"/>
                  <w:marBottom w:val="0"/>
                  <w:divBdr>
                    <w:top w:val="none" w:sz="0" w:space="0" w:color="auto"/>
                    <w:left w:val="none" w:sz="0" w:space="0" w:color="auto"/>
                    <w:bottom w:val="none" w:sz="0" w:space="0" w:color="auto"/>
                    <w:right w:val="none" w:sz="0" w:space="0" w:color="auto"/>
                  </w:divBdr>
                  <w:divsChild>
                    <w:div w:id="1860585654">
                      <w:marLeft w:val="0"/>
                      <w:marRight w:val="0"/>
                      <w:marTop w:val="0"/>
                      <w:marBottom w:val="0"/>
                      <w:divBdr>
                        <w:top w:val="none" w:sz="0" w:space="0" w:color="auto"/>
                        <w:left w:val="none" w:sz="0" w:space="0" w:color="auto"/>
                        <w:bottom w:val="none" w:sz="0" w:space="0" w:color="auto"/>
                        <w:right w:val="none" w:sz="0" w:space="0" w:color="auto"/>
                      </w:divBdr>
                      <w:divsChild>
                        <w:div w:id="1796413014">
                          <w:marLeft w:val="0"/>
                          <w:marRight w:val="0"/>
                          <w:marTop w:val="0"/>
                          <w:marBottom w:val="0"/>
                          <w:divBdr>
                            <w:top w:val="none" w:sz="0" w:space="0" w:color="auto"/>
                            <w:left w:val="none" w:sz="0" w:space="0" w:color="auto"/>
                            <w:bottom w:val="none" w:sz="0" w:space="0" w:color="auto"/>
                            <w:right w:val="none" w:sz="0" w:space="0" w:color="auto"/>
                          </w:divBdr>
                          <w:divsChild>
                            <w:div w:id="583491193">
                              <w:marLeft w:val="0"/>
                              <w:marRight w:val="0"/>
                              <w:marTop w:val="0"/>
                              <w:marBottom w:val="0"/>
                              <w:divBdr>
                                <w:top w:val="none" w:sz="0" w:space="0" w:color="auto"/>
                                <w:left w:val="none" w:sz="0" w:space="0" w:color="auto"/>
                                <w:bottom w:val="none" w:sz="0" w:space="0" w:color="auto"/>
                                <w:right w:val="none" w:sz="0" w:space="0" w:color="auto"/>
                              </w:divBdr>
                              <w:divsChild>
                                <w:div w:id="790826783">
                                  <w:marLeft w:val="0"/>
                                  <w:marRight w:val="0"/>
                                  <w:marTop w:val="0"/>
                                  <w:marBottom w:val="0"/>
                                  <w:divBdr>
                                    <w:top w:val="none" w:sz="0" w:space="0" w:color="auto"/>
                                    <w:left w:val="none" w:sz="0" w:space="0" w:color="auto"/>
                                    <w:bottom w:val="none" w:sz="0" w:space="0" w:color="auto"/>
                                    <w:right w:val="none" w:sz="0" w:space="0" w:color="auto"/>
                                  </w:divBdr>
                                  <w:divsChild>
                                    <w:div w:id="1557468459">
                                      <w:marLeft w:val="0"/>
                                      <w:marRight w:val="0"/>
                                      <w:marTop w:val="0"/>
                                      <w:marBottom w:val="0"/>
                                      <w:divBdr>
                                        <w:top w:val="none" w:sz="0" w:space="0" w:color="auto"/>
                                        <w:left w:val="none" w:sz="0" w:space="0" w:color="auto"/>
                                        <w:bottom w:val="none" w:sz="0" w:space="0" w:color="auto"/>
                                        <w:right w:val="none" w:sz="0" w:space="0" w:color="auto"/>
                                      </w:divBdr>
                                    </w:div>
                                    <w:div w:id="1811092153">
                                      <w:marLeft w:val="0"/>
                                      <w:marRight w:val="0"/>
                                      <w:marTop w:val="0"/>
                                      <w:marBottom w:val="0"/>
                                      <w:divBdr>
                                        <w:top w:val="none" w:sz="0" w:space="0" w:color="auto"/>
                                        <w:left w:val="none" w:sz="0" w:space="0" w:color="auto"/>
                                        <w:bottom w:val="none" w:sz="0" w:space="0" w:color="auto"/>
                                        <w:right w:val="none" w:sz="0" w:space="0" w:color="auto"/>
                                      </w:divBdr>
                                      <w:divsChild>
                                        <w:div w:id="3628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734589">
      <w:bodyDiv w:val="1"/>
      <w:marLeft w:val="0"/>
      <w:marRight w:val="0"/>
      <w:marTop w:val="0"/>
      <w:marBottom w:val="0"/>
      <w:divBdr>
        <w:top w:val="none" w:sz="0" w:space="0" w:color="auto"/>
        <w:left w:val="none" w:sz="0" w:space="0" w:color="auto"/>
        <w:bottom w:val="none" w:sz="0" w:space="0" w:color="auto"/>
        <w:right w:val="none" w:sz="0" w:space="0" w:color="auto"/>
      </w:divBdr>
    </w:div>
    <w:div w:id="1151210411">
      <w:bodyDiv w:val="1"/>
      <w:marLeft w:val="0"/>
      <w:marRight w:val="0"/>
      <w:marTop w:val="0"/>
      <w:marBottom w:val="0"/>
      <w:divBdr>
        <w:top w:val="none" w:sz="0" w:space="0" w:color="auto"/>
        <w:left w:val="none" w:sz="0" w:space="0" w:color="auto"/>
        <w:bottom w:val="none" w:sz="0" w:space="0" w:color="auto"/>
        <w:right w:val="none" w:sz="0" w:space="0" w:color="auto"/>
      </w:divBdr>
    </w:div>
    <w:div w:id="1303078676">
      <w:bodyDiv w:val="1"/>
      <w:marLeft w:val="0"/>
      <w:marRight w:val="0"/>
      <w:marTop w:val="0"/>
      <w:marBottom w:val="0"/>
      <w:divBdr>
        <w:top w:val="none" w:sz="0" w:space="0" w:color="auto"/>
        <w:left w:val="none" w:sz="0" w:space="0" w:color="auto"/>
        <w:bottom w:val="none" w:sz="0" w:space="0" w:color="auto"/>
        <w:right w:val="none" w:sz="0" w:space="0" w:color="auto"/>
      </w:divBdr>
    </w:div>
    <w:div w:id="1481926281">
      <w:bodyDiv w:val="1"/>
      <w:marLeft w:val="0"/>
      <w:marRight w:val="0"/>
      <w:marTop w:val="0"/>
      <w:marBottom w:val="0"/>
      <w:divBdr>
        <w:top w:val="none" w:sz="0" w:space="0" w:color="auto"/>
        <w:left w:val="none" w:sz="0" w:space="0" w:color="auto"/>
        <w:bottom w:val="none" w:sz="0" w:space="0" w:color="auto"/>
        <w:right w:val="none" w:sz="0" w:space="0" w:color="auto"/>
      </w:divBdr>
    </w:div>
    <w:div w:id="1551722220">
      <w:bodyDiv w:val="1"/>
      <w:marLeft w:val="0"/>
      <w:marRight w:val="0"/>
      <w:marTop w:val="0"/>
      <w:marBottom w:val="0"/>
      <w:divBdr>
        <w:top w:val="none" w:sz="0" w:space="0" w:color="auto"/>
        <w:left w:val="none" w:sz="0" w:space="0" w:color="auto"/>
        <w:bottom w:val="none" w:sz="0" w:space="0" w:color="auto"/>
        <w:right w:val="none" w:sz="0" w:space="0" w:color="auto"/>
      </w:divBdr>
    </w:div>
    <w:div w:id="1735010594">
      <w:bodyDiv w:val="1"/>
      <w:marLeft w:val="0"/>
      <w:marRight w:val="0"/>
      <w:marTop w:val="0"/>
      <w:marBottom w:val="0"/>
      <w:divBdr>
        <w:top w:val="none" w:sz="0" w:space="0" w:color="auto"/>
        <w:left w:val="none" w:sz="0" w:space="0" w:color="auto"/>
        <w:bottom w:val="none" w:sz="0" w:space="0" w:color="auto"/>
        <w:right w:val="none" w:sz="0" w:space="0" w:color="auto"/>
      </w:divBdr>
      <w:divsChild>
        <w:div w:id="1301153241">
          <w:marLeft w:val="0"/>
          <w:marRight w:val="0"/>
          <w:marTop w:val="0"/>
          <w:marBottom w:val="0"/>
          <w:divBdr>
            <w:top w:val="none" w:sz="0" w:space="0" w:color="auto"/>
            <w:left w:val="none" w:sz="0" w:space="0" w:color="auto"/>
            <w:bottom w:val="none" w:sz="0" w:space="0" w:color="auto"/>
            <w:right w:val="none" w:sz="0" w:space="0" w:color="auto"/>
          </w:divBdr>
          <w:divsChild>
            <w:div w:id="1641615630">
              <w:marLeft w:val="0"/>
              <w:marRight w:val="0"/>
              <w:marTop w:val="0"/>
              <w:marBottom w:val="0"/>
              <w:divBdr>
                <w:top w:val="none" w:sz="0" w:space="0" w:color="auto"/>
                <w:left w:val="none" w:sz="0" w:space="0" w:color="auto"/>
                <w:bottom w:val="none" w:sz="0" w:space="0" w:color="auto"/>
                <w:right w:val="none" w:sz="0" w:space="0" w:color="auto"/>
              </w:divBdr>
              <w:divsChild>
                <w:div w:id="1250893335">
                  <w:marLeft w:val="0"/>
                  <w:marRight w:val="0"/>
                  <w:marTop w:val="150"/>
                  <w:marBottom w:val="0"/>
                  <w:divBdr>
                    <w:top w:val="none" w:sz="0" w:space="0" w:color="auto"/>
                    <w:left w:val="none" w:sz="0" w:space="0" w:color="auto"/>
                    <w:bottom w:val="none" w:sz="0" w:space="0" w:color="auto"/>
                    <w:right w:val="none" w:sz="0" w:space="0" w:color="auto"/>
                  </w:divBdr>
                  <w:divsChild>
                    <w:div w:id="1172645609">
                      <w:marLeft w:val="0"/>
                      <w:marRight w:val="0"/>
                      <w:marTop w:val="0"/>
                      <w:marBottom w:val="0"/>
                      <w:divBdr>
                        <w:top w:val="none" w:sz="0" w:space="0" w:color="auto"/>
                        <w:left w:val="none" w:sz="0" w:space="0" w:color="auto"/>
                        <w:bottom w:val="none" w:sz="0" w:space="0" w:color="auto"/>
                        <w:right w:val="none" w:sz="0" w:space="0" w:color="auto"/>
                      </w:divBdr>
                      <w:divsChild>
                        <w:div w:id="418213500">
                          <w:marLeft w:val="0"/>
                          <w:marRight w:val="0"/>
                          <w:marTop w:val="0"/>
                          <w:marBottom w:val="0"/>
                          <w:divBdr>
                            <w:top w:val="none" w:sz="0" w:space="0" w:color="auto"/>
                            <w:left w:val="none" w:sz="0" w:space="0" w:color="auto"/>
                            <w:bottom w:val="none" w:sz="0" w:space="0" w:color="auto"/>
                            <w:right w:val="none" w:sz="0" w:space="0" w:color="auto"/>
                          </w:divBdr>
                          <w:divsChild>
                            <w:div w:id="1931768911">
                              <w:marLeft w:val="0"/>
                              <w:marRight w:val="0"/>
                              <w:marTop w:val="0"/>
                              <w:marBottom w:val="0"/>
                              <w:divBdr>
                                <w:top w:val="none" w:sz="0" w:space="0" w:color="auto"/>
                                <w:left w:val="none" w:sz="0" w:space="0" w:color="auto"/>
                                <w:bottom w:val="none" w:sz="0" w:space="0" w:color="auto"/>
                                <w:right w:val="none" w:sz="0" w:space="0" w:color="auto"/>
                              </w:divBdr>
                              <w:divsChild>
                                <w:div w:id="1486556274">
                                  <w:marLeft w:val="0"/>
                                  <w:marRight w:val="0"/>
                                  <w:marTop w:val="0"/>
                                  <w:marBottom w:val="0"/>
                                  <w:divBdr>
                                    <w:top w:val="none" w:sz="0" w:space="0" w:color="auto"/>
                                    <w:left w:val="none" w:sz="0" w:space="0" w:color="auto"/>
                                    <w:bottom w:val="none" w:sz="0" w:space="0" w:color="auto"/>
                                    <w:right w:val="none" w:sz="0" w:space="0" w:color="auto"/>
                                  </w:divBdr>
                                  <w:divsChild>
                                    <w:div w:id="616254708">
                                      <w:marLeft w:val="0"/>
                                      <w:marRight w:val="0"/>
                                      <w:marTop w:val="0"/>
                                      <w:marBottom w:val="0"/>
                                      <w:divBdr>
                                        <w:top w:val="none" w:sz="0" w:space="0" w:color="auto"/>
                                        <w:left w:val="none" w:sz="0" w:space="0" w:color="auto"/>
                                        <w:bottom w:val="none" w:sz="0" w:space="0" w:color="auto"/>
                                        <w:right w:val="none" w:sz="0" w:space="0" w:color="auto"/>
                                      </w:divBdr>
                                      <w:divsChild>
                                        <w:div w:id="508788162">
                                          <w:marLeft w:val="0"/>
                                          <w:marRight w:val="0"/>
                                          <w:marTop w:val="0"/>
                                          <w:marBottom w:val="0"/>
                                          <w:divBdr>
                                            <w:top w:val="none" w:sz="0" w:space="0" w:color="auto"/>
                                            <w:left w:val="none" w:sz="0" w:space="0" w:color="auto"/>
                                            <w:bottom w:val="none" w:sz="0" w:space="0" w:color="auto"/>
                                            <w:right w:val="none" w:sz="0" w:space="0" w:color="auto"/>
                                          </w:divBdr>
                                          <w:divsChild>
                                            <w:div w:id="10886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688201">
      <w:bodyDiv w:val="1"/>
      <w:marLeft w:val="90"/>
      <w:marRight w:val="0"/>
      <w:marTop w:val="90"/>
      <w:marBottom w:val="0"/>
      <w:divBdr>
        <w:top w:val="none" w:sz="0" w:space="0" w:color="auto"/>
        <w:left w:val="none" w:sz="0" w:space="0" w:color="auto"/>
        <w:bottom w:val="none" w:sz="0" w:space="0" w:color="auto"/>
        <w:right w:val="none" w:sz="0" w:space="0" w:color="auto"/>
      </w:divBdr>
      <w:divsChild>
        <w:div w:id="206374558">
          <w:marLeft w:val="45"/>
          <w:marRight w:val="45"/>
          <w:marTop w:val="0"/>
          <w:marBottom w:val="0"/>
          <w:divBdr>
            <w:top w:val="none" w:sz="0" w:space="0" w:color="auto"/>
            <w:left w:val="none" w:sz="0" w:space="0" w:color="auto"/>
            <w:bottom w:val="none" w:sz="0" w:space="0" w:color="auto"/>
            <w:right w:val="none" w:sz="0" w:space="0" w:color="auto"/>
          </w:divBdr>
        </w:div>
      </w:divsChild>
    </w:div>
    <w:div w:id="1889341950">
      <w:bodyDiv w:val="1"/>
      <w:marLeft w:val="0"/>
      <w:marRight w:val="0"/>
      <w:marTop w:val="0"/>
      <w:marBottom w:val="0"/>
      <w:divBdr>
        <w:top w:val="none" w:sz="0" w:space="0" w:color="auto"/>
        <w:left w:val="none" w:sz="0" w:space="0" w:color="auto"/>
        <w:bottom w:val="none" w:sz="0" w:space="0" w:color="auto"/>
        <w:right w:val="none" w:sz="0" w:space="0" w:color="auto"/>
      </w:divBdr>
    </w:div>
    <w:div w:id="1936086391">
      <w:bodyDiv w:val="1"/>
      <w:marLeft w:val="0"/>
      <w:marRight w:val="0"/>
      <w:marTop w:val="0"/>
      <w:marBottom w:val="0"/>
      <w:divBdr>
        <w:top w:val="none" w:sz="0" w:space="0" w:color="auto"/>
        <w:left w:val="none" w:sz="0" w:space="0" w:color="auto"/>
        <w:bottom w:val="none" w:sz="0" w:space="0" w:color="auto"/>
        <w:right w:val="none" w:sz="0" w:space="0" w:color="auto"/>
      </w:divBdr>
      <w:divsChild>
        <w:div w:id="1663007102">
          <w:marLeft w:val="0"/>
          <w:marRight w:val="0"/>
          <w:marTop w:val="0"/>
          <w:marBottom w:val="0"/>
          <w:divBdr>
            <w:top w:val="none" w:sz="0" w:space="0" w:color="auto"/>
            <w:left w:val="none" w:sz="0" w:space="0" w:color="auto"/>
            <w:bottom w:val="none" w:sz="0" w:space="0" w:color="auto"/>
            <w:right w:val="none" w:sz="0" w:space="0" w:color="auto"/>
          </w:divBdr>
          <w:divsChild>
            <w:div w:id="305355051">
              <w:marLeft w:val="0"/>
              <w:marRight w:val="0"/>
              <w:marTop w:val="0"/>
              <w:marBottom w:val="48"/>
              <w:divBdr>
                <w:top w:val="single" w:sz="4" w:space="0" w:color="333333"/>
                <w:left w:val="single" w:sz="4" w:space="0" w:color="333333"/>
                <w:bottom w:val="single" w:sz="4" w:space="0" w:color="333333"/>
                <w:right w:val="single" w:sz="4" w:space="0" w:color="333333"/>
              </w:divBdr>
              <w:divsChild>
                <w:div w:id="19484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ps-npv.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56bb84cb01dbae77f988b71a/t/5f9065e56d65272858143fca/1603298789807/Voices+from+the+Margi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count.inclusivedesig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rl.ca/DocumentViewer/en/43-2/bill/C-7/royal-ass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oyens.soquij.qc.ca/php/downloadti.php?doc=ABDC24B668988D804B23D496876FB98A&amp;banque=CS&amp;lang=e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nd%20that%20was%20that%20for%20evidence%20that%20we%20had%20presented%20concerning%20the%20risk,%20broadly%20speaking,%20of%20the%20overzealous%20MAiD%20physician%20and%20the%20risk%20of%20a%20slide%20toward%20more%20and%20more%20permissive%20MAiD%20policy." TargetMode="External"/><Relationship Id="rId13" Type="http://schemas.openxmlformats.org/officeDocument/2006/relationships/hyperlink" Target="https://www.sencanada.ca/en/Content/Sen/Committee/432/LCJC/10ev-55128-e" TargetMode="External"/><Relationship Id="rId3" Type="http://schemas.openxmlformats.org/officeDocument/2006/relationships/hyperlink" Target="https://bc.ctvnews.ca/we-need-a-public-outcry-b-c-father-with-als-ends-life-after-struggle-to-stay-at-home-1.4543983" TargetMode="External"/><Relationship Id="rId7" Type="http://schemas.openxmlformats.org/officeDocument/2006/relationships/hyperlink" Target="https://scc-csc.lexum.com/scc-csc/scc-csc/en/item/14637/index.do" TargetMode="External"/><Relationship Id="rId12" Type="http://schemas.openxmlformats.org/officeDocument/2006/relationships/hyperlink" Target="https://sencanada.ca/en/Content/Sen/Committee/432/LCJC/55130-e" TargetMode="External"/><Relationship Id="rId2" Type="http://schemas.openxmlformats.org/officeDocument/2006/relationships/hyperlink" Target="https://www.theglobeandmail.com/opinion/article-assisted-dying-legislation-puts-equality-for-people-with-disabilities/" TargetMode="External"/><Relationship Id="rId1" Type="http://schemas.openxmlformats.org/officeDocument/2006/relationships/hyperlink" Target="http://www.vps-npv.ca/" TargetMode="External"/><Relationship Id="rId6" Type="http://schemas.openxmlformats.org/officeDocument/2006/relationships/hyperlink" Target="https://youtu.be/sAFX5bcWt-8" TargetMode="External"/><Relationship Id="rId11" Type="http://schemas.openxmlformats.org/officeDocument/2006/relationships/hyperlink" Target="https://everybody.si.edu/place" TargetMode="External"/><Relationship Id="rId5" Type="http://schemas.openxmlformats.org/officeDocument/2006/relationships/hyperlink" Target="https://montrealgazette.com/news/local-news/life-in-long-term-hospital-unbearable-montreal-man-with-als" TargetMode="External"/><Relationship Id="rId10" Type="http://schemas.openxmlformats.org/officeDocument/2006/relationships/hyperlink" Target="https://www.canada.ca/en/health-canada/services/medical-assistance-dying/annual-report-2020.html" TargetMode="External"/><Relationship Id="rId4" Type="http://schemas.openxmlformats.org/officeDocument/2006/relationships/hyperlink" Target="https://static1.squarespace.com/static/56bb84cb01dbae77f988b71a/t/615716183c30976483303da6/1633097241515/Updated+Cases+of+Concern+.pdf" TargetMode="External"/><Relationship Id="rId9" Type="http://schemas.openxmlformats.org/officeDocument/2006/relationships/hyperlink" Target="https://www.cmaj.ca/content/189/3/E101" TargetMode="External"/><Relationship Id="rId14" Type="http://schemas.openxmlformats.org/officeDocument/2006/relationships/hyperlink" Target="https://www.sencanada.ca/en/Content/Sen/Committee/432/LCJC/10ev-5512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55783A-CBD5-4D25-BDB1-9E892AFA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Frazee</dc:creator>
  <cp:keywords/>
  <dc:description/>
  <cp:lastModifiedBy>Dana Ayotte</cp:lastModifiedBy>
  <cp:revision>2</cp:revision>
  <cp:lastPrinted>2015-06-22T21:26:00Z</cp:lastPrinted>
  <dcterms:created xsi:type="dcterms:W3CDTF">2021-12-07T22:01:00Z</dcterms:created>
  <dcterms:modified xsi:type="dcterms:W3CDTF">2021-12-07T22:01:00Z</dcterms:modified>
</cp:coreProperties>
</file>